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DFC9" w14:textId="77777777" w:rsidR="00B574B3" w:rsidRDefault="00B574B3">
      <w:pPr>
        <w:rPr>
          <w:rFonts w:ascii="Times New Roman" w:hAnsi="Times New Roman"/>
          <w:sz w:val="32"/>
          <w:szCs w:val="32"/>
        </w:rPr>
      </w:pPr>
      <w:bookmarkStart w:id="0" w:name="_GoBack"/>
      <w:bookmarkEnd w:id="0"/>
    </w:p>
    <w:p w14:paraId="1F07F62B" w14:textId="77777777" w:rsidR="00973FE8" w:rsidRDefault="00973FE8">
      <w:pPr>
        <w:rPr>
          <w:rFonts w:ascii="Times New Roman" w:hAnsi="Times New Roman"/>
          <w:sz w:val="32"/>
          <w:szCs w:val="32"/>
        </w:rPr>
      </w:pPr>
    </w:p>
    <w:p w14:paraId="0F7B826D" w14:textId="77777777" w:rsidR="00B574B3" w:rsidRDefault="00B574B3">
      <w:pPr>
        <w:rPr>
          <w:rFonts w:ascii="Times New Roman" w:hAnsi="Times New Roman"/>
          <w:sz w:val="32"/>
          <w:szCs w:val="32"/>
        </w:rPr>
      </w:pPr>
    </w:p>
    <w:p w14:paraId="104748EC" w14:textId="77777777" w:rsidR="00B574B3" w:rsidRDefault="00B574B3">
      <w:pPr>
        <w:rPr>
          <w:rFonts w:ascii="Times New Roman" w:hAnsi="Times New Roman"/>
          <w:sz w:val="32"/>
          <w:szCs w:val="32"/>
        </w:rPr>
      </w:pPr>
    </w:p>
    <w:p w14:paraId="19C5377D" w14:textId="77777777" w:rsidR="00B574B3" w:rsidRDefault="00B574B3" w:rsidP="004E3801">
      <w:pPr>
        <w:jc w:val="center"/>
        <w:rPr>
          <w:rFonts w:ascii="Times New Roman" w:hAnsi="Times New Roman"/>
          <w:sz w:val="44"/>
          <w:szCs w:val="44"/>
        </w:rPr>
      </w:pPr>
    </w:p>
    <w:p w14:paraId="3DEE8144" w14:textId="77777777" w:rsidR="00B574B3" w:rsidRDefault="00B574B3" w:rsidP="004E3801">
      <w:pPr>
        <w:jc w:val="center"/>
        <w:rPr>
          <w:rFonts w:ascii="Times New Roman" w:hAnsi="Times New Roman"/>
          <w:sz w:val="44"/>
          <w:szCs w:val="44"/>
        </w:rPr>
      </w:pPr>
    </w:p>
    <w:p w14:paraId="01E1D2CB" w14:textId="77777777" w:rsidR="00B574B3" w:rsidRPr="004E3801" w:rsidRDefault="00B574B3" w:rsidP="004E3801">
      <w:pPr>
        <w:jc w:val="center"/>
        <w:rPr>
          <w:rFonts w:ascii="Times New Roman" w:hAnsi="Times New Roman"/>
          <w:sz w:val="44"/>
          <w:szCs w:val="44"/>
        </w:rPr>
      </w:pPr>
      <w:r w:rsidRPr="004E3801">
        <w:rPr>
          <w:rFonts w:ascii="Times New Roman" w:hAnsi="Times New Roman"/>
          <w:sz w:val="44"/>
          <w:szCs w:val="44"/>
        </w:rPr>
        <w:t>Energiaverojen korotusten tulonjakovaikutukset</w:t>
      </w:r>
    </w:p>
    <w:p w14:paraId="4F6054FE" w14:textId="77777777" w:rsidR="00B574B3" w:rsidRDefault="00B574B3" w:rsidP="004E3801">
      <w:pPr>
        <w:jc w:val="center"/>
        <w:rPr>
          <w:rFonts w:ascii="Times New Roman" w:hAnsi="Times New Roman"/>
          <w:sz w:val="32"/>
          <w:szCs w:val="32"/>
        </w:rPr>
      </w:pPr>
    </w:p>
    <w:p w14:paraId="3DA9644D" w14:textId="77777777" w:rsidR="00B574B3" w:rsidRPr="004E3801" w:rsidRDefault="00B574B3" w:rsidP="004E3801">
      <w:pPr>
        <w:spacing w:after="120"/>
        <w:jc w:val="center"/>
        <w:rPr>
          <w:rFonts w:ascii="Times New Roman" w:hAnsi="Times New Roman"/>
          <w:i/>
          <w:sz w:val="28"/>
          <w:szCs w:val="28"/>
        </w:rPr>
      </w:pPr>
      <w:r w:rsidRPr="004E3801">
        <w:rPr>
          <w:rFonts w:ascii="Times New Roman" w:hAnsi="Times New Roman"/>
          <w:i/>
          <w:sz w:val="28"/>
          <w:szCs w:val="28"/>
        </w:rPr>
        <w:t>Ilmo Mäenpää, Mira Koivula</w:t>
      </w:r>
    </w:p>
    <w:p w14:paraId="2679A827" w14:textId="77777777" w:rsidR="00B574B3" w:rsidRPr="004E3801" w:rsidRDefault="00B574B3" w:rsidP="004E3801">
      <w:pPr>
        <w:spacing w:after="0"/>
        <w:jc w:val="center"/>
        <w:rPr>
          <w:rFonts w:ascii="Times New Roman" w:hAnsi="Times New Roman"/>
          <w:i/>
          <w:sz w:val="28"/>
          <w:szCs w:val="28"/>
        </w:rPr>
      </w:pPr>
      <w:r w:rsidRPr="004E3801">
        <w:rPr>
          <w:rFonts w:ascii="Times New Roman" w:hAnsi="Times New Roman"/>
          <w:i/>
          <w:sz w:val="28"/>
          <w:szCs w:val="28"/>
        </w:rPr>
        <w:t>Oulun yliopiston</w:t>
      </w:r>
    </w:p>
    <w:p w14:paraId="2434B344" w14:textId="77777777" w:rsidR="00B574B3" w:rsidRDefault="00B574B3" w:rsidP="004E3801">
      <w:pPr>
        <w:spacing w:after="120"/>
        <w:jc w:val="center"/>
        <w:rPr>
          <w:rFonts w:ascii="Times New Roman" w:hAnsi="Times New Roman"/>
          <w:i/>
          <w:sz w:val="28"/>
          <w:szCs w:val="28"/>
        </w:rPr>
      </w:pPr>
      <w:r w:rsidRPr="004E3801">
        <w:rPr>
          <w:rFonts w:ascii="Times New Roman" w:hAnsi="Times New Roman"/>
          <w:i/>
          <w:sz w:val="28"/>
          <w:szCs w:val="28"/>
        </w:rPr>
        <w:t>Thule-instituutti</w:t>
      </w:r>
    </w:p>
    <w:p w14:paraId="14CDFC0A" w14:textId="77777777" w:rsidR="00B574B3" w:rsidRDefault="00B574B3" w:rsidP="004E3801">
      <w:pPr>
        <w:spacing w:after="120"/>
        <w:jc w:val="center"/>
        <w:rPr>
          <w:rFonts w:ascii="Times New Roman" w:hAnsi="Times New Roman"/>
          <w:i/>
          <w:sz w:val="28"/>
          <w:szCs w:val="28"/>
        </w:rPr>
      </w:pPr>
      <w:r>
        <w:rPr>
          <w:rFonts w:ascii="Times New Roman" w:hAnsi="Times New Roman"/>
          <w:i/>
          <w:sz w:val="28"/>
          <w:szCs w:val="28"/>
        </w:rPr>
        <w:t>Suomen ympäristökeskus</w:t>
      </w:r>
    </w:p>
    <w:p w14:paraId="3D4AD849" w14:textId="77777777" w:rsidR="00973FE8" w:rsidRPr="004E3801" w:rsidRDefault="00973FE8" w:rsidP="004E3801">
      <w:pPr>
        <w:spacing w:after="120"/>
        <w:jc w:val="center"/>
        <w:rPr>
          <w:rFonts w:ascii="Times New Roman" w:hAnsi="Times New Roman"/>
          <w:i/>
          <w:sz w:val="28"/>
          <w:szCs w:val="28"/>
        </w:rPr>
      </w:pPr>
      <w:r>
        <w:rPr>
          <w:rFonts w:ascii="Times New Roman" w:hAnsi="Times New Roman"/>
          <w:i/>
          <w:sz w:val="28"/>
          <w:szCs w:val="28"/>
        </w:rPr>
        <w:t>Oulussa 11.6.2012</w:t>
      </w:r>
    </w:p>
    <w:p w14:paraId="7B583B63" w14:textId="77777777" w:rsidR="00B574B3" w:rsidRDefault="00B574B3">
      <w:r>
        <w:br w:type="page"/>
      </w:r>
    </w:p>
    <w:p w14:paraId="02EB4120" w14:textId="77777777" w:rsidR="00B574B3" w:rsidRDefault="00B574B3"/>
    <w:p w14:paraId="162E1B5B" w14:textId="77777777" w:rsidR="00B574B3" w:rsidRDefault="00B574B3"/>
    <w:p w14:paraId="01DC246B" w14:textId="77777777" w:rsidR="00B574B3" w:rsidRPr="00D079CC" w:rsidRDefault="00B574B3" w:rsidP="009D4E90">
      <w:pPr>
        <w:pStyle w:val="Otsikko1"/>
        <w:numPr>
          <w:ilvl w:val="0"/>
          <w:numId w:val="0"/>
        </w:numPr>
        <w:ind w:left="432" w:hanging="432"/>
      </w:pPr>
      <w:bookmarkStart w:id="1" w:name="_Toc327190980"/>
      <w:r w:rsidRPr="00D079CC">
        <w:t>Esipuhe</w:t>
      </w:r>
      <w:bookmarkEnd w:id="1"/>
    </w:p>
    <w:p w14:paraId="756DC362" w14:textId="77777777" w:rsidR="00B574B3" w:rsidRDefault="00B574B3" w:rsidP="00092FC8">
      <w:pPr>
        <w:jc w:val="both"/>
        <w:rPr>
          <w:rFonts w:ascii="Times New Roman" w:hAnsi="Times New Roman"/>
          <w:sz w:val="24"/>
          <w:szCs w:val="24"/>
        </w:rPr>
      </w:pPr>
      <w:r>
        <w:rPr>
          <w:rFonts w:ascii="Times New Roman" w:hAnsi="Times New Roman"/>
          <w:sz w:val="24"/>
          <w:szCs w:val="24"/>
        </w:rPr>
        <w:t xml:space="preserve">Selvitys on tehty Valtiovarainministeriön toimeksiannosta Oulun yliopiston Thule-instituutissa. </w:t>
      </w:r>
      <w:r w:rsidRPr="00F167BE">
        <w:rPr>
          <w:rFonts w:ascii="Times New Roman" w:hAnsi="Times New Roman"/>
          <w:sz w:val="24"/>
          <w:szCs w:val="24"/>
        </w:rPr>
        <w:t>Kun energiaveroja korotettiin vuoden 2011 alusta merkittävästi, eduskunta edellytti, että korotuksen vaikutuksia kotitalouksien taloudelliseen hyvinvointiin seurataan. Myös Kataisen hallituksen hallitusohjelmassa on kirjaus, jossa sitoudutaan seuraamaan energiaverouudistuksen vaikutuksia verokertymään, ympäristön kuormitukseen, kotitalouksien ostovoimaan ja tulonjakoon sekä elinkeinoelämän toiminta</w:t>
      </w:r>
      <w:r>
        <w:rPr>
          <w:rFonts w:ascii="Times New Roman" w:hAnsi="Times New Roman"/>
          <w:sz w:val="24"/>
          <w:szCs w:val="24"/>
        </w:rPr>
        <w:softHyphen/>
      </w:r>
      <w:r w:rsidRPr="00F167BE">
        <w:rPr>
          <w:rFonts w:ascii="Times New Roman" w:hAnsi="Times New Roman"/>
          <w:sz w:val="24"/>
          <w:szCs w:val="24"/>
        </w:rPr>
        <w:t xml:space="preserve">edellytyksiin.  </w:t>
      </w:r>
    </w:p>
    <w:p w14:paraId="0EED6E62" w14:textId="77777777" w:rsidR="00B574B3" w:rsidRPr="00130CCC" w:rsidRDefault="00B574B3" w:rsidP="00092FC8">
      <w:pPr>
        <w:jc w:val="both"/>
        <w:rPr>
          <w:rFonts w:ascii="Times New Roman" w:hAnsi="Times New Roman"/>
          <w:sz w:val="24"/>
          <w:szCs w:val="24"/>
        </w:rPr>
      </w:pPr>
      <w:r>
        <w:rPr>
          <w:rFonts w:ascii="Times New Roman" w:hAnsi="Times New Roman"/>
          <w:sz w:val="24"/>
          <w:szCs w:val="24"/>
        </w:rPr>
        <w:t xml:space="preserve">Selvityksen valvojana Valtiovarainministeriöstä on ollut </w:t>
      </w:r>
      <w:r w:rsidRPr="00130CCC">
        <w:rPr>
          <w:rFonts w:ascii="Times New Roman" w:hAnsi="Times New Roman"/>
          <w:sz w:val="24"/>
          <w:szCs w:val="24"/>
        </w:rPr>
        <w:t>finanssineuvos</w:t>
      </w:r>
      <w:r>
        <w:rPr>
          <w:rFonts w:ascii="Times New Roman" w:hAnsi="Times New Roman"/>
          <w:sz w:val="24"/>
          <w:szCs w:val="24"/>
        </w:rPr>
        <w:t xml:space="preserve"> Elina Pylkkänen. Selvityksen tukena ohjausryhmässä ovat olleet Leo Parkkonen (VM), Veli Auvinen (VM), Merja Sandell (VM), Ilari Valjus (VM)</w:t>
      </w:r>
      <w:r w:rsidR="007E087A">
        <w:rPr>
          <w:rFonts w:ascii="Times New Roman" w:hAnsi="Times New Roman"/>
          <w:sz w:val="24"/>
          <w:szCs w:val="24"/>
        </w:rPr>
        <w:t>,</w:t>
      </w:r>
      <w:r>
        <w:rPr>
          <w:rFonts w:ascii="Times New Roman" w:hAnsi="Times New Roman"/>
          <w:sz w:val="24"/>
          <w:szCs w:val="24"/>
        </w:rPr>
        <w:t xml:space="preserve"> Pekka Tervo (TEM), Jukka Saarinen (TEM) ja </w:t>
      </w:r>
      <w:r w:rsidRPr="00130CCC">
        <w:rPr>
          <w:rFonts w:ascii="Times New Roman" w:hAnsi="Times New Roman"/>
          <w:sz w:val="24"/>
          <w:szCs w:val="24"/>
        </w:rPr>
        <w:t>Magnus Cederlöf (YM)</w:t>
      </w:r>
      <w:r>
        <w:rPr>
          <w:rFonts w:ascii="Times New Roman" w:hAnsi="Times New Roman"/>
          <w:sz w:val="24"/>
          <w:szCs w:val="24"/>
        </w:rPr>
        <w:t>.</w:t>
      </w:r>
    </w:p>
    <w:p w14:paraId="45B05FAC" w14:textId="77777777" w:rsidR="00B574B3" w:rsidRDefault="00B574B3" w:rsidP="00092FC8">
      <w:pPr>
        <w:rPr>
          <w:rFonts w:ascii="Times New Roman" w:hAnsi="Times New Roman"/>
          <w:sz w:val="24"/>
          <w:szCs w:val="24"/>
        </w:rPr>
      </w:pPr>
      <w:r>
        <w:rPr>
          <w:rFonts w:ascii="Times New Roman" w:hAnsi="Times New Roman"/>
          <w:sz w:val="24"/>
          <w:szCs w:val="24"/>
        </w:rPr>
        <w:t>Selvityksen on tehnyt tutkimusprofessori Ilmo Mäenpää Oulun yliopiston Thule-instituutista ja Suomen ympäristökeskuksesta. Tutkimusavustajana toimi kaup.yo Mira Koivula.</w:t>
      </w:r>
    </w:p>
    <w:p w14:paraId="1A531A8F" w14:textId="77777777" w:rsidR="00B574B3" w:rsidRDefault="00B574B3">
      <w:pPr>
        <w:rPr>
          <w:rFonts w:ascii="Times New Roman" w:hAnsi="Times New Roman"/>
          <w:sz w:val="24"/>
          <w:szCs w:val="24"/>
        </w:rPr>
      </w:pPr>
      <w:r>
        <w:rPr>
          <w:rFonts w:ascii="Times New Roman" w:hAnsi="Times New Roman"/>
          <w:sz w:val="24"/>
          <w:szCs w:val="24"/>
        </w:rPr>
        <w:br w:type="page"/>
      </w:r>
    </w:p>
    <w:p w14:paraId="012EA7F6" w14:textId="77777777" w:rsidR="00B574B3" w:rsidRPr="00C50C3F" w:rsidRDefault="00B574B3">
      <w:pPr>
        <w:pStyle w:val="Sisllysluettelonotsikko"/>
        <w:rPr>
          <w:color w:val="auto"/>
        </w:rPr>
      </w:pPr>
      <w:r w:rsidRPr="00C50C3F">
        <w:rPr>
          <w:color w:val="auto"/>
        </w:rPr>
        <w:lastRenderedPageBreak/>
        <w:t>Sisällys</w:t>
      </w:r>
    </w:p>
    <w:p w14:paraId="75EE2AD5" w14:textId="77777777" w:rsidR="00876007" w:rsidRDefault="00F93AD1">
      <w:pPr>
        <w:pStyle w:val="Sisluet1"/>
        <w:tabs>
          <w:tab w:val="right" w:leader="dot" w:pos="9628"/>
        </w:tabs>
        <w:rPr>
          <w:rFonts w:asciiTheme="minorHAnsi" w:eastAsiaTheme="minorEastAsia" w:hAnsiTheme="minorHAnsi" w:cstheme="minorBidi"/>
          <w:noProof/>
          <w:lang w:eastAsia="fi-FI"/>
        </w:rPr>
      </w:pPr>
      <w:r>
        <w:fldChar w:fldCharType="begin"/>
      </w:r>
      <w:r w:rsidR="00B574B3">
        <w:instrText xml:space="preserve"> TOC \o "1-3" \h \z \u </w:instrText>
      </w:r>
      <w:r>
        <w:fldChar w:fldCharType="separate"/>
      </w:r>
      <w:hyperlink w:anchor="_Toc327190980" w:history="1">
        <w:r w:rsidR="00876007" w:rsidRPr="00EA7ED4">
          <w:rPr>
            <w:rStyle w:val="Hyperlinkki"/>
            <w:noProof/>
          </w:rPr>
          <w:t>Esipuhe</w:t>
        </w:r>
        <w:r w:rsidR="00876007">
          <w:rPr>
            <w:noProof/>
            <w:webHidden/>
          </w:rPr>
          <w:tab/>
        </w:r>
        <w:r w:rsidR="00876007">
          <w:rPr>
            <w:noProof/>
            <w:webHidden/>
          </w:rPr>
          <w:fldChar w:fldCharType="begin"/>
        </w:r>
        <w:r w:rsidR="00876007">
          <w:rPr>
            <w:noProof/>
            <w:webHidden/>
          </w:rPr>
          <w:instrText xml:space="preserve"> PAGEREF _Toc327190980 \h </w:instrText>
        </w:r>
        <w:r w:rsidR="00876007">
          <w:rPr>
            <w:noProof/>
            <w:webHidden/>
          </w:rPr>
        </w:r>
        <w:r w:rsidR="00876007">
          <w:rPr>
            <w:noProof/>
            <w:webHidden/>
          </w:rPr>
          <w:fldChar w:fldCharType="separate"/>
        </w:r>
        <w:r w:rsidR="00876007">
          <w:rPr>
            <w:noProof/>
            <w:webHidden/>
          </w:rPr>
          <w:t>2</w:t>
        </w:r>
        <w:r w:rsidR="00876007">
          <w:rPr>
            <w:noProof/>
            <w:webHidden/>
          </w:rPr>
          <w:fldChar w:fldCharType="end"/>
        </w:r>
      </w:hyperlink>
    </w:p>
    <w:p w14:paraId="4CEE1C80"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1" w:history="1">
        <w:r w:rsidR="00876007" w:rsidRPr="00EA7ED4">
          <w:rPr>
            <w:rStyle w:val="Hyperlinkki"/>
            <w:noProof/>
          </w:rPr>
          <w:t>1</w:t>
        </w:r>
        <w:r w:rsidR="00876007">
          <w:rPr>
            <w:rFonts w:asciiTheme="minorHAnsi" w:eastAsiaTheme="minorEastAsia" w:hAnsiTheme="minorHAnsi" w:cstheme="minorBidi"/>
            <w:noProof/>
            <w:lang w:eastAsia="fi-FI"/>
          </w:rPr>
          <w:tab/>
        </w:r>
        <w:r w:rsidR="00876007" w:rsidRPr="00EA7ED4">
          <w:rPr>
            <w:rStyle w:val="Hyperlinkki"/>
            <w:noProof/>
          </w:rPr>
          <w:t>Johdanto</w:t>
        </w:r>
        <w:r w:rsidR="00876007">
          <w:rPr>
            <w:noProof/>
            <w:webHidden/>
          </w:rPr>
          <w:tab/>
        </w:r>
        <w:r w:rsidR="00876007">
          <w:rPr>
            <w:noProof/>
            <w:webHidden/>
          </w:rPr>
          <w:fldChar w:fldCharType="begin"/>
        </w:r>
        <w:r w:rsidR="00876007">
          <w:rPr>
            <w:noProof/>
            <w:webHidden/>
          </w:rPr>
          <w:instrText xml:space="preserve"> PAGEREF _Toc327190981 \h </w:instrText>
        </w:r>
        <w:r w:rsidR="00876007">
          <w:rPr>
            <w:noProof/>
            <w:webHidden/>
          </w:rPr>
        </w:r>
        <w:r w:rsidR="00876007">
          <w:rPr>
            <w:noProof/>
            <w:webHidden/>
          </w:rPr>
          <w:fldChar w:fldCharType="separate"/>
        </w:r>
        <w:r w:rsidR="00876007">
          <w:rPr>
            <w:noProof/>
            <w:webHidden/>
          </w:rPr>
          <w:t>4</w:t>
        </w:r>
        <w:r w:rsidR="00876007">
          <w:rPr>
            <w:noProof/>
            <w:webHidden/>
          </w:rPr>
          <w:fldChar w:fldCharType="end"/>
        </w:r>
      </w:hyperlink>
    </w:p>
    <w:p w14:paraId="65C827E6"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2" w:history="1">
        <w:r w:rsidR="00876007" w:rsidRPr="00EA7ED4">
          <w:rPr>
            <w:rStyle w:val="Hyperlinkki"/>
            <w:noProof/>
          </w:rPr>
          <w:t>2</w:t>
        </w:r>
        <w:r w:rsidR="00876007">
          <w:rPr>
            <w:rFonts w:asciiTheme="minorHAnsi" w:eastAsiaTheme="minorEastAsia" w:hAnsiTheme="minorHAnsi" w:cstheme="minorBidi"/>
            <w:noProof/>
            <w:lang w:eastAsia="fi-FI"/>
          </w:rPr>
          <w:tab/>
        </w:r>
        <w:r w:rsidR="00876007" w:rsidRPr="00EA7ED4">
          <w:rPr>
            <w:rStyle w:val="Hyperlinkki"/>
            <w:noProof/>
          </w:rPr>
          <w:t>Energiaverojen korotukset</w:t>
        </w:r>
        <w:r w:rsidR="00876007">
          <w:rPr>
            <w:noProof/>
            <w:webHidden/>
          </w:rPr>
          <w:tab/>
        </w:r>
        <w:r w:rsidR="00876007">
          <w:rPr>
            <w:noProof/>
            <w:webHidden/>
          </w:rPr>
          <w:fldChar w:fldCharType="begin"/>
        </w:r>
        <w:r w:rsidR="00876007">
          <w:rPr>
            <w:noProof/>
            <w:webHidden/>
          </w:rPr>
          <w:instrText xml:space="preserve"> PAGEREF _Toc327190982 \h </w:instrText>
        </w:r>
        <w:r w:rsidR="00876007">
          <w:rPr>
            <w:noProof/>
            <w:webHidden/>
          </w:rPr>
        </w:r>
        <w:r w:rsidR="00876007">
          <w:rPr>
            <w:noProof/>
            <w:webHidden/>
          </w:rPr>
          <w:fldChar w:fldCharType="separate"/>
        </w:r>
        <w:r w:rsidR="00876007">
          <w:rPr>
            <w:noProof/>
            <w:webHidden/>
          </w:rPr>
          <w:t>5</w:t>
        </w:r>
        <w:r w:rsidR="00876007">
          <w:rPr>
            <w:noProof/>
            <w:webHidden/>
          </w:rPr>
          <w:fldChar w:fldCharType="end"/>
        </w:r>
      </w:hyperlink>
    </w:p>
    <w:p w14:paraId="4AAF94BF"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3" w:history="1">
        <w:r w:rsidR="00876007" w:rsidRPr="00EA7ED4">
          <w:rPr>
            <w:rStyle w:val="Hyperlinkki"/>
            <w:noProof/>
          </w:rPr>
          <w:t>3</w:t>
        </w:r>
        <w:r w:rsidR="00876007">
          <w:rPr>
            <w:rFonts w:asciiTheme="minorHAnsi" w:eastAsiaTheme="minorEastAsia" w:hAnsiTheme="minorHAnsi" w:cstheme="minorBidi"/>
            <w:noProof/>
            <w:lang w:eastAsia="fi-FI"/>
          </w:rPr>
          <w:tab/>
        </w:r>
        <w:r w:rsidR="00876007" w:rsidRPr="00EA7ED4">
          <w:rPr>
            <w:rStyle w:val="Hyperlinkki"/>
            <w:noProof/>
          </w:rPr>
          <w:t>Kotitalouksien tulot ja kulutus</w:t>
        </w:r>
        <w:r w:rsidR="00876007">
          <w:rPr>
            <w:noProof/>
            <w:webHidden/>
          </w:rPr>
          <w:tab/>
        </w:r>
        <w:r w:rsidR="00876007">
          <w:rPr>
            <w:noProof/>
            <w:webHidden/>
          </w:rPr>
          <w:fldChar w:fldCharType="begin"/>
        </w:r>
        <w:r w:rsidR="00876007">
          <w:rPr>
            <w:noProof/>
            <w:webHidden/>
          </w:rPr>
          <w:instrText xml:space="preserve"> PAGEREF _Toc327190983 \h </w:instrText>
        </w:r>
        <w:r w:rsidR="00876007">
          <w:rPr>
            <w:noProof/>
            <w:webHidden/>
          </w:rPr>
        </w:r>
        <w:r w:rsidR="00876007">
          <w:rPr>
            <w:noProof/>
            <w:webHidden/>
          </w:rPr>
          <w:fldChar w:fldCharType="separate"/>
        </w:r>
        <w:r w:rsidR="00876007">
          <w:rPr>
            <w:noProof/>
            <w:webHidden/>
          </w:rPr>
          <w:t>6</w:t>
        </w:r>
        <w:r w:rsidR="00876007">
          <w:rPr>
            <w:noProof/>
            <w:webHidden/>
          </w:rPr>
          <w:fldChar w:fldCharType="end"/>
        </w:r>
      </w:hyperlink>
    </w:p>
    <w:p w14:paraId="4CEA3655"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4" w:history="1">
        <w:r w:rsidR="00876007" w:rsidRPr="00EA7ED4">
          <w:rPr>
            <w:rStyle w:val="Hyperlinkki"/>
            <w:noProof/>
          </w:rPr>
          <w:t>4</w:t>
        </w:r>
        <w:r w:rsidR="00876007">
          <w:rPr>
            <w:rFonts w:asciiTheme="minorHAnsi" w:eastAsiaTheme="minorEastAsia" w:hAnsiTheme="minorHAnsi" w:cstheme="minorBidi"/>
            <w:noProof/>
            <w:lang w:eastAsia="fi-FI"/>
          </w:rPr>
          <w:tab/>
        </w:r>
        <w:r w:rsidR="00876007" w:rsidRPr="00EA7ED4">
          <w:rPr>
            <w:rStyle w:val="Hyperlinkki"/>
            <w:noProof/>
          </w:rPr>
          <w:t>Energiaverojen kustannusvaikutukset tulodesiileittäin</w:t>
        </w:r>
        <w:r w:rsidR="00876007">
          <w:rPr>
            <w:noProof/>
            <w:webHidden/>
          </w:rPr>
          <w:tab/>
        </w:r>
        <w:r w:rsidR="00876007">
          <w:rPr>
            <w:noProof/>
            <w:webHidden/>
          </w:rPr>
          <w:fldChar w:fldCharType="begin"/>
        </w:r>
        <w:r w:rsidR="00876007">
          <w:rPr>
            <w:noProof/>
            <w:webHidden/>
          </w:rPr>
          <w:instrText xml:space="preserve"> PAGEREF _Toc327190984 \h </w:instrText>
        </w:r>
        <w:r w:rsidR="00876007">
          <w:rPr>
            <w:noProof/>
            <w:webHidden/>
          </w:rPr>
        </w:r>
        <w:r w:rsidR="00876007">
          <w:rPr>
            <w:noProof/>
            <w:webHidden/>
          </w:rPr>
          <w:fldChar w:fldCharType="separate"/>
        </w:r>
        <w:r w:rsidR="00876007">
          <w:rPr>
            <w:noProof/>
            <w:webHidden/>
          </w:rPr>
          <w:t>8</w:t>
        </w:r>
        <w:r w:rsidR="00876007">
          <w:rPr>
            <w:noProof/>
            <w:webHidden/>
          </w:rPr>
          <w:fldChar w:fldCharType="end"/>
        </w:r>
      </w:hyperlink>
    </w:p>
    <w:p w14:paraId="503337A4"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5" w:history="1">
        <w:r w:rsidR="00876007" w:rsidRPr="00EA7ED4">
          <w:rPr>
            <w:rStyle w:val="Hyperlinkki"/>
            <w:noProof/>
          </w:rPr>
          <w:t>5</w:t>
        </w:r>
        <w:r w:rsidR="00876007">
          <w:rPr>
            <w:rFonts w:asciiTheme="minorHAnsi" w:eastAsiaTheme="minorEastAsia" w:hAnsiTheme="minorHAnsi" w:cstheme="minorBidi"/>
            <w:noProof/>
            <w:lang w:eastAsia="fi-FI"/>
          </w:rPr>
          <w:tab/>
        </w:r>
        <w:r w:rsidR="00876007" w:rsidRPr="00EA7ED4">
          <w:rPr>
            <w:rStyle w:val="Hyperlinkki"/>
            <w:noProof/>
          </w:rPr>
          <w:t>Energiaverojen tulonjakovaikutukset</w:t>
        </w:r>
        <w:r w:rsidR="00876007">
          <w:rPr>
            <w:noProof/>
            <w:webHidden/>
          </w:rPr>
          <w:tab/>
        </w:r>
        <w:r w:rsidR="00876007">
          <w:rPr>
            <w:noProof/>
            <w:webHidden/>
          </w:rPr>
          <w:fldChar w:fldCharType="begin"/>
        </w:r>
        <w:r w:rsidR="00876007">
          <w:rPr>
            <w:noProof/>
            <w:webHidden/>
          </w:rPr>
          <w:instrText xml:space="preserve"> PAGEREF _Toc327190985 \h </w:instrText>
        </w:r>
        <w:r w:rsidR="00876007">
          <w:rPr>
            <w:noProof/>
            <w:webHidden/>
          </w:rPr>
        </w:r>
        <w:r w:rsidR="00876007">
          <w:rPr>
            <w:noProof/>
            <w:webHidden/>
          </w:rPr>
          <w:fldChar w:fldCharType="separate"/>
        </w:r>
        <w:r w:rsidR="00876007">
          <w:rPr>
            <w:noProof/>
            <w:webHidden/>
          </w:rPr>
          <w:t>11</w:t>
        </w:r>
        <w:r w:rsidR="00876007">
          <w:rPr>
            <w:noProof/>
            <w:webHidden/>
          </w:rPr>
          <w:fldChar w:fldCharType="end"/>
        </w:r>
      </w:hyperlink>
    </w:p>
    <w:p w14:paraId="57EA6379" w14:textId="77777777" w:rsidR="00876007" w:rsidRDefault="00C95285">
      <w:pPr>
        <w:pStyle w:val="Sisluet1"/>
        <w:tabs>
          <w:tab w:val="left" w:pos="440"/>
          <w:tab w:val="right" w:leader="dot" w:pos="9628"/>
        </w:tabs>
        <w:rPr>
          <w:rFonts w:asciiTheme="minorHAnsi" w:eastAsiaTheme="minorEastAsia" w:hAnsiTheme="minorHAnsi" w:cstheme="minorBidi"/>
          <w:noProof/>
          <w:lang w:eastAsia="fi-FI"/>
        </w:rPr>
      </w:pPr>
      <w:hyperlink w:anchor="_Toc327190986" w:history="1">
        <w:r w:rsidR="00876007" w:rsidRPr="00EA7ED4">
          <w:rPr>
            <w:rStyle w:val="Hyperlinkki"/>
            <w:noProof/>
          </w:rPr>
          <w:t>6</w:t>
        </w:r>
        <w:r w:rsidR="00876007">
          <w:rPr>
            <w:rFonts w:asciiTheme="minorHAnsi" w:eastAsiaTheme="minorEastAsia" w:hAnsiTheme="minorHAnsi" w:cstheme="minorBidi"/>
            <w:noProof/>
            <w:lang w:eastAsia="fi-FI"/>
          </w:rPr>
          <w:tab/>
        </w:r>
        <w:r w:rsidR="00876007" w:rsidRPr="00EA7ED4">
          <w:rPr>
            <w:rStyle w:val="Hyperlinkki"/>
            <w:noProof/>
          </w:rPr>
          <w:t>Johtopäätökset</w:t>
        </w:r>
        <w:r w:rsidR="00876007">
          <w:rPr>
            <w:noProof/>
            <w:webHidden/>
          </w:rPr>
          <w:tab/>
        </w:r>
        <w:r w:rsidR="00876007">
          <w:rPr>
            <w:noProof/>
            <w:webHidden/>
          </w:rPr>
          <w:fldChar w:fldCharType="begin"/>
        </w:r>
        <w:r w:rsidR="00876007">
          <w:rPr>
            <w:noProof/>
            <w:webHidden/>
          </w:rPr>
          <w:instrText xml:space="preserve"> PAGEREF _Toc327190986 \h </w:instrText>
        </w:r>
        <w:r w:rsidR="00876007">
          <w:rPr>
            <w:noProof/>
            <w:webHidden/>
          </w:rPr>
        </w:r>
        <w:r w:rsidR="00876007">
          <w:rPr>
            <w:noProof/>
            <w:webHidden/>
          </w:rPr>
          <w:fldChar w:fldCharType="separate"/>
        </w:r>
        <w:r w:rsidR="00876007">
          <w:rPr>
            <w:noProof/>
            <w:webHidden/>
          </w:rPr>
          <w:t>13</w:t>
        </w:r>
        <w:r w:rsidR="00876007">
          <w:rPr>
            <w:noProof/>
            <w:webHidden/>
          </w:rPr>
          <w:fldChar w:fldCharType="end"/>
        </w:r>
      </w:hyperlink>
    </w:p>
    <w:p w14:paraId="55F6EB14" w14:textId="77777777" w:rsidR="00876007" w:rsidRDefault="00C95285">
      <w:pPr>
        <w:pStyle w:val="Sisluet1"/>
        <w:tabs>
          <w:tab w:val="right" w:leader="dot" w:pos="9628"/>
        </w:tabs>
        <w:rPr>
          <w:rFonts w:asciiTheme="minorHAnsi" w:eastAsiaTheme="minorEastAsia" w:hAnsiTheme="minorHAnsi" w:cstheme="minorBidi"/>
          <w:noProof/>
          <w:lang w:eastAsia="fi-FI"/>
        </w:rPr>
      </w:pPr>
      <w:hyperlink w:anchor="_Toc327190987" w:history="1">
        <w:r w:rsidR="00876007" w:rsidRPr="00EA7ED4">
          <w:rPr>
            <w:rStyle w:val="Hyperlinkki"/>
            <w:noProof/>
          </w:rPr>
          <w:t>Lähteet</w:t>
        </w:r>
        <w:r w:rsidR="00876007">
          <w:rPr>
            <w:noProof/>
            <w:webHidden/>
          </w:rPr>
          <w:tab/>
        </w:r>
        <w:r w:rsidR="00876007">
          <w:rPr>
            <w:noProof/>
            <w:webHidden/>
          </w:rPr>
          <w:fldChar w:fldCharType="begin"/>
        </w:r>
        <w:r w:rsidR="00876007">
          <w:rPr>
            <w:noProof/>
            <w:webHidden/>
          </w:rPr>
          <w:instrText xml:space="preserve"> PAGEREF _Toc327190987 \h </w:instrText>
        </w:r>
        <w:r w:rsidR="00876007">
          <w:rPr>
            <w:noProof/>
            <w:webHidden/>
          </w:rPr>
        </w:r>
        <w:r w:rsidR="00876007">
          <w:rPr>
            <w:noProof/>
            <w:webHidden/>
          </w:rPr>
          <w:fldChar w:fldCharType="separate"/>
        </w:r>
        <w:r w:rsidR="00876007">
          <w:rPr>
            <w:noProof/>
            <w:webHidden/>
          </w:rPr>
          <w:t>14</w:t>
        </w:r>
        <w:r w:rsidR="00876007">
          <w:rPr>
            <w:noProof/>
            <w:webHidden/>
          </w:rPr>
          <w:fldChar w:fldCharType="end"/>
        </w:r>
      </w:hyperlink>
    </w:p>
    <w:p w14:paraId="7CA53B19" w14:textId="77777777" w:rsidR="00876007" w:rsidRDefault="00C95285">
      <w:pPr>
        <w:pStyle w:val="Sisluet1"/>
        <w:tabs>
          <w:tab w:val="right" w:leader="dot" w:pos="9628"/>
        </w:tabs>
        <w:rPr>
          <w:rFonts w:asciiTheme="minorHAnsi" w:eastAsiaTheme="minorEastAsia" w:hAnsiTheme="minorHAnsi" w:cstheme="minorBidi"/>
          <w:noProof/>
          <w:lang w:eastAsia="fi-FI"/>
        </w:rPr>
      </w:pPr>
      <w:hyperlink w:anchor="_Toc327190988" w:history="1">
        <w:r w:rsidR="00876007" w:rsidRPr="00EA7ED4">
          <w:rPr>
            <w:rStyle w:val="Hyperlinkki"/>
            <w:noProof/>
          </w:rPr>
          <w:t>Liite. Laskentamenetelmät</w:t>
        </w:r>
        <w:r w:rsidR="00876007">
          <w:rPr>
            <w:noProof/>
            <w:webHidden/>
          </w:rPr>
          <w:tab/>
        </w:r>
        <w:r w:rsidR="00876007">
          <w:rPr>
            <w:noProof/>
            <w:webHidden/>
          </w:rPr>
          <w:fldChar w:fldCharType="begin"/>
        </w:r>
        <w:r w:rsidR="00876007">
          <w:rPr>
            <w:noProof/>
            <w:webHidden/>
          </w:rPr>
          <w:instrText xml:space="preserve"> PAGEREF _Toc327190988 \h </w:instrText>
        </w:r>
        <w:r w:rsidR="00876007">
          <w:rPr>
            <w:noProof/>
            <w:webHidden/>
          </w:rPr>
        </w:r>
        <w:r w:rsidR="00876007">
          <w:rPr>
            <w:noProof/>
            <w:webHidden/>
          </w:rPr>
          <w:fldChar w:fldCharType="separate"/>
        </w:r>
        <w:r w:rsidR="00876007">
          <w:rPr>
            <w:noProof/>
            <w:webHidden/>
          </w:rPr>
          <w:t>15</w:t>
        </w:r>
        <w:r w:rsidR="00876007">
          <w:rPr>
            <w:noProof/>
            <w:webHidden/>
          </w:rPr>
          <w:fldChar w:fldCharType="end"/>
        </w:r>
      </w:hyperlink>
    </w:p>
    <w:p w14:paraId="69D9304E" w14:textId="77777777" w:rsidR="00876007" w:rsidRDefault="00C95285">
      <w:pPr>
        <w:pStyle w:val="Sisluet2"/>
        <w:tabs>
          <w:tab w:val="right" w:leader="dot" w:pos="9628"/>
        </w:tabs>
        <w:rPr>
          <w:rFonts w:asciiTheme="minorHAnsi" w:eastAsiaTheme="minorEastAsia" w:hAnsiTheme="minorHAnsi" w:cstheme="minorBidi"/>
          <w:noProof/>
          <w:lang w:eastAsia="fi-FI"/>
        </w:rPr>
      </w:pPr>
      <w:hyperlink w:anchor="_Toc327190989" w:history="1">
        <w:r w:rsidR="00876007" w:rsidRPr="00EA7ED4">
          <w:rPr>
            <w:rStyle w:val="Hyperlinkki"/>
            <w:noProof/>
          </w:rPr>
          <w:t>Panos-tuotosmalli</w:t>
        </w:r>
        <w:r w:rsidR="00876007">
          <w:rPr>
            <w:noProof/>
            <w:webHidden/>
          </w:rPr>
          <w:tab/>
        </w:r>
        <w:r w:rsidR="00876007">
          <w:rPr>
            <w:noProof/>
            <w:webHidden/>
          </w:rPr>
          <w:fldChar w:fldCharType="begin"/>
        </w:r>
        <w:r w:rsidR="00876007">
          <w:rPr>
            <w:noProof/>
            <w:webHidden/>
          </w:rPr>
          <w:instrText xml:space="preserve"> PAGEREF _Toc327190989 \h </w:instrText>
        </w:r>
        <w:r w:rsidR="00876007">
          <w:rPr>
            <w:noProof/>
            <w:webHidden/>
          </w:rPr>
        </w:r>
        <w:r w:rsidR="00876007">
          <w:rPr>
            <w:noProof/>
            <w:webHidden/>
          </w:rPr>
          <w:fldChar w:fldCharType="separate"/>
        </w:r>
        <w:r w:rsidR="00876007">
          <w:rPr>
            <w:noProof/>
            <w:webHidden/>
          </w:rPr>
          <w:t>15</w:t>
        </w:r>
        <w:r w:rsidR="00876007">
          <w:rPr>
            <w:noProof/>
            <w:webHidden/>
          </w:rPr>
          <w:fldChar w:fldCharType="end"/>
        </w:r>
      </w:hyperlink>
    </w:p>
    <w:p w14:paraId="4C1F14D9" w14:textId="77777777" w:rsidR="00876007" w:rsidRDefault="00C95285">
      <w:pPr>
        <w:pStyle w:val="Sisluet2"/>
        <w:tabs>
          <w:tab w:val="right" w:leader="dot" w:pos="9628"/>
        </w:tabs>
        <w:rPr>
          <w:rFonts w:asciiTheme="minorHAnsi" w:eastAsiaTheme="minorEastAsia" w:hAnsiTheme="minorHAnsi" w:cstheme="minorBidi"/>
          <w:noProof/>
          <w:lang w:eastAsia="fi-FI"/>
        </w:rPr>
      </w:pPr>
      <w:hyperlink w:anchor="_Toc327190990" w:history="1">
        <w:r w:rsidR="00876007" w:rsidRPr="00EA7ED4">
          <w:rPr>
            <w:rStyle w:val="Hyperlinkki"/>
            <w:noProof/>
          </w:rPr>
          <w:t>Kulutustutkimus</w:t>
        </w:r>
        <w:r w:rsidR="00876007">
          <w:rPr>
            <w:noProof/>
            <w:webHidden/>
          </w:rPr>
          <w:tab/>
        </w:r>
        <w:r w:rsidR="00876007">
          <w:rPr>
            <w:noProof/>
            <w:webHidden/>
          </w:rPr>
          <w:fldChar w:fldCharType="begin"/>
        </w:r>
        <w:r w:rsidR="00876007">
          <w:rPr>
            <w:noProof/>
            <w:webHidden/>
          </w:rPr>
          <w:instrText xml:space="preserve"> PAGEREF _Toc327190990 \h </w:instrText>
        </w:r>
        <w:r w:rsidR="00876007">
          <w:rPr>
            <w:noProof/>
            <w:webHidden/>
          </w:rPr>
        </w:r>
        <w:r w:rsidR="00876007">
          <w:rPr>
            <w:noProof/>
            <w:webHidden/>
          </w:rPr>
          <w:fldChar w:fldCharType="separate"/>
        </w:r>
        <w:r w:rsidR="00876007">
          <w:rPr>
            <w:noProof/>
            <w:webHidden/>
          </w:rPr>
          <w:t>16</w:t>
        </w:r>
        <w:r w:rsidR="00876007">
          <w:rPr>
            <w:noProof/>
            <w:webHidden/>
          </w:rPr>
          <w:fldChar w:fldCharType="end"/>
        </w:r>
      </w:hyperlink>
    </w:p>
    <w:p w14:paraId="5F6FB3FA" w14:textId="77777777" w:rsidR="00876007" w:rsidRDefault="00C95285">
      <w:pPr>
        <w:pStyle w:val="Sisluet2"/>
        <w:tabs>
          <w:tab w:val="right" w:leader="dot" w:pos="9628"/>
        </w:tabs>
        <w:rPr>
          <w:rFonts w:asciiTheme="minorHAnsi" w:eastAsiaTheme="minorEastAsia" w:hAnsiTheme="minorHAnsi" w:cstheme="minorBidi"/>
          <w:noProof/>
          <w:lang w:eastAsia="fi-FI"/>
        </w:rPr>
      </w:pPr>
      <w:hyperlink w:anchor="_Toc327190991" w:history="1">
        <w:r w:rsidR="00876007" w:rsidRPr="00EA7ED4">
          <w:rPr>
            <w:rStyle w:val="Hyperlinkki"/>
            <w:noProof/>
          </w:rPr>
          <w:t>Energiaverot energiayksikköä kohti</w:t>
        </w:r>
        <w:r w:rsidR="00876007">
          <w:rPr>
            <w:noProof/>
            <w:webHidden/>
          </w:rPr>
          <w:tab/>
        </w:r>
        <w:r w:rsidR="00876007">
          <w:rPr>
            <w:noProof/>
            <w:webHidden/>
          </w:rPr>
          <w:fldChar w:fldCharType="begin"/>
        </w:r>
        <w:r w:rsidR="00876007">
          <w:rPr>
            <w:noProof/>
            <w:webHidden/>
          </w:rPr>
          <w:instrText xml:space="preserve"> PAGEREF _Toc327190991 \h </w:instrText>
        </w:r>
        <w:r w:rsidR="00876007">
          <w:rPr>
            <w:noProof/>
            <w:webHidden/>
          </w:rPr>
        </w:r>
        <w:r w:rsidR="00876007">
          <w:rPr>
            <w:noProof/>
            <w:webHidden/>
          </w:rPr>
          <w:fldChar w:fldCharType="separate"/>
        </w:r>
        <w:r w:rsidR="00876007">
          <w:rPr>
            <w:noProof/>
            <w:webHidden/>
          </w:rPr>
          <w:t>17</w:t>
        </w:r>
        <w:r w:rsidR="00876007">
          <w:rPr>
            <w:noProof/>
            <w:webHidden/>
          </w:rPr>
          <w:fldChar w:fldCharType="end"/>
        </w:r>
      </w:hyperlink>
    </w:p>
    <w:p w14:paraId="5B587448" w14:textId="77777777" w:rsidR="00B574B3" w:rsidRDefault="00F93AD1">
      <w:r>
        <w:fldChar w:fldCharType="end"/>
      </w:r>
    </w:p>
    <w:p w14:paraId="6B71CEA9" w14:textId="77777777" w:rsidR="00B574B3" w:rsidRDefault="00B574B3">
      <w:pPr>
        <w:rPr>
          <w:rFonts w:ascii="Times New Roman" w:hAnsi="Times New Roman"/>
          <w:sz w:val="24"/>
          <w:szCs w:val="24"/>
        </w:rPr>
      </w:pPr>
      <w:r>
        <w:rPr>
          <w:rFonts w:ascii="Times New Roman" w:hAnsi="Times New Roman"/>
          <w:sz w:val="24"/>
          <w:szCs w:val="24"/>
        </w:rPr>
        <w:br w:type="page"/>
      </w:r>
    </w:p>
    <w:p w14:paraId="081227CD" w14:textId="77777777" w:rsidR="00B574B3" w:rsidRPr="00D86401" w:rsidRDefault="00B574B3" w:rsidP="00745C66">
      <w:pPr>
        <w:pStyle w:val="Otsikko1"/>
      </w:pPr>
      <w:bookmarkStart w:id="2" w:name="_Toc327190981"/>
      <w:r>
        <w:lastRenderedPageBreak/>
        <w:t>Johdanto</w:t>
      </w:r>
      <w:bookmarkEnd w:id="2"/>
    </w:p>
    <w:p w14:paraId="3B8DA76F" w14:textId="77777777" w:rsidR="00B574B3" w:rsidRDefault="00B574B3" w:rsidP="006775B6">
      <w:pPr>
        <w:jc w:val="both"/>
        <w:rPr>
          <w:rFonts w:ascii="Times New Roman" w:hAnsi="Times New Roman"/>
          <w:sz w:val="24"/>
          <w:szCs w:val="24"/>
        </w:rPr>
      </w:pPr>
      <w:r>
        <w:rPr>
          <w:rFonts w:ascii="Times New Roman" w:hAnsi="Times New Roman"/>
          <w:sz w:val="24"/>
          <w:szCs w:val="24"/>
        </w:rPr>
        <w:t>Energiaverot vaikuttavat kotitalouksien tulojen ostovoimaan sekä suoraan että välillisesti. Kotitalouksien suora energiankulutus koostuu kotitalouksien kulutusmenoihin sisältyvistä liikennepolttonesteistä, lämmityspolttoaineista, sähköstä ja kaukolämmöstä. Kotitalouksien välillinen ener</w:t>
      </w:r>
      <w:r w:rsidR="005E4BFC">
        <w:rPr>
          <w:rFonts w:ascii="Times New Roman" w:hAnsi="Times New Roman"/>
          <w:sz w:val="24"/>
          <w:szCs w:val="24"/>
        </w:rPr>
        <w:t xml:space="preserve">giankulutus puolestaan koostuu </w:t>
      </w:r>
      <w:r>
        <w:rPr>
          <w:rFonts w:ascii="Times New Roman" w:hAnsi="Times New Roman"/>
          <w:sz w:val="24"/>
          <w:szCs w:val="24"/>
        </w:rPr>
        <w:t>kaikkien kulutushyödykkeiden valmist</w:t>
      </w:r>
      <w:r w:rsidR="00727373">
        <w:rPr>
          <w:rFonts w:ascii="Times New Roman" w:hAnsi="Times New Roman"/>
          <w:sz w:val="24"/>
          <w:szCs w:val="24"/>
        </w:rPr>
        <w:t xml:space="preserve">amiseen ja jakeluun käytetystä </w:t>
      </w:r>
      <w:r>
        <w:rPr>
          <w:rFonts w:ascii="Times New Roman" w:hAnsi="Times New Roman"/>
          <w:sz w:val="24"/>
          <w:szCs w:val="24"/>
        </w:rPr>
        <w:t>energiasta. Välillisen energian osuus kotitalouksien koko energiankulutuksesta on hieman yli puolet. Kuitenkin vain noin kolmasosa kotitalouksien maksamista energiaveroista aiheutuu välillisestä energian kulutuksesta. Jos asuntojen vuokriin ja hoitomaksuihin sisältyvä lämmitysenergia luokitellaan myös kotitalouksien suoraksi energian kulutukseksi, muodostaisi välillisestä energiakulutuksesta maksetut energiaverot noin neljänneksen kotitalouksien maksamista energiaveroista. Se, että välillisestä energian kulutuksesta maksetaan vähemmän veroa kuin suorasta energiasta johtuu</w:t>
      </w:r>
      <w:r w:rsidR="0057417A">
        <w:rPr>
          <w:rFonts w:ascii="Times New Roman" w:hAnsi="Times New Roman"/>
          <w:sz w:val="24"/>
          <w:szCs w:val="24"/>
        </w:rPr>
        <w:t xml:space="preserve"> siitä, </w:t>
      </w:r>
      <w:r>
        <w:rPr>
          <w:rFonts w:ascii="Times New Roman" w:hAnsi="Times New Roman"/>
          <w:sz w:val="24"/>
          <w:szCs w:val="24"/>
        </w:rPr>
        <w:t xml:space="preserve">että hyödykkeiden tuotannossa välituotteina käytettyjen energiapanosten verosta myönnetään monissa tapauksissa palautuksia tai huojennuksia.  </w:t>
      </w:r>
      <w:r w:rsidR="00727373">
        <w:rPr>
          <w:rFonts w:ascii="Times New Roman" w:hAnsi="Times New Roman"/>
          <w:sz w:val="24"/>
          <w:szCs w:val="24"/>
        </w:rPr>
        <w:t xml:space="preserve">Myös erityisesti raskas prosessiteollisuus käyttää energialähteenä paljon omia sivutuotteitaan, jotka eivät sisälly energia-verotuksen piiriin. </w:t>
      </w:r>
    </w:p>
    <w:p w14:paraId="445D1D7F" w14:textId="77777777" w:rsidR="00B574B3" w:rsidRDefault="00B574B3" w:rsidP="006775B6">
      <w:pPr>
        <w:jc w:val="both"/>
        <w:rPr>
          <w:rFonts w:ascii="Times New Roman" w:hAnsi="Times New Roman"/>
          <w:sz w:val="24"/>
          <w:szCs w:val="24"/>
        </w:rPr>
      </w:pPr>
      <w:r>
        <w:rPr>
          <w:rFonts w:ascii="Times New Roman" w:hAnsi="Times New Roman"/>
          <w:sz w:val="24"/>
          <w:szCs w:val="24"/>
        </w:rPr>
        <w:t xml:space="preserve">Tässä tutkimuksessa selvitetään, miten vuosien 2011 ja 2012 sekä jo etukäteen sovitut, vuosina 2014 ja 2015 toteutettavat energiaverojen korotukset vaikuttavat kotitalouksien ostovoimaan, kotitalouksien välisiin tuloeroihin ja köyhyysasteeseen. Tutkimus täydentää aiemmin tehtyjä vaikutusarvioita (Riihelä 2010, Riihelä 2011), koska tässä tutkimuksessa selvitetään erityisesti myös välillisen energiankäytön kautta koituvan energiaverojen korotuksen vaikutus ostovoimaan ja kotitalouksien väliseen tulonjakoon.    </w:t>
      </w:r>
    </w:p>
    <w:p w14:paraId="4341789D" w14:textId="77777777" w:rsidR="00B574B3" w:rsidRDefault="00B574B3" w:rsidP="006775B6">
      <w:pPr>
        <w:jc w:val="both"/>
        <w:rPr>
          <w:rFonts w:ascii="Times New Roman" w:hAnsi="Times New Roman"/>
          <w:sz w:val="24"/>
          <w:szCs w:val="24"/>
        </w:rPr>
      </w:pPr>
      <w:r>
        <w:rPr>
          <w:rFonts w:ascii="Times New Roman" w:hAnsi="Times New Roman"/>
          <w:sz w:val="24"/>
          <w:szCs w:val="24"/>
        </w:rPr>
        <w:t xml:space="preserve">Tässä selvityksessä energiaverojen välilliset kustannusvaikutukset </w:t>
      </w:r>
      <w:r w:rsidR="00727373">
        <w:rPr>
          <w:rFonts w:ascii="Times New Roman" w:hAnsi="Times New Roman"/>
          <w:sz w:val="24"/>
          <w:szCs w:val="24"/>
        </w:rPr>
        <w:t>on</w:t>
      </w:r>
      <w:r w:rsidR="00A5410C">
        <w:rPr>
          <w:rFonts w:ascii="Times New Roman" w:hAnsi="Times New Roman"/>
          <w:sz w:val="24"/>
          <w:szCs w:val="24"/>
        </w:rPr>
        <w:t xml:space="preserve"> laskettu</w:t>
      </w:r>
      <w:r w:rsidR="005E4BFC">
        <w:rPr>
          <w:rFonts w:ascii="Times New Roman" w:hAnsi="Times New Roman"/>
          <w:sz w:val="24"/>
          <w:szCs w:val="24"/>
        </w:rPr>
        <w:t xml:space="preserve"> ENVIMAT mallin </w:t>
      </w:r>
      <w:r>
        <w:rPr>
          <w:rFonts w:ascii="Times New Roman" w:hAnsi="Times New Roman"/>
          <w:sz w:val="24"/>
          <w:szCs w:val="24"/>
        </w:rPr>
        <w:t xml:space="preserve">(Seppälä ym. 2009) pohja-aineistosta tämän selvityksen tarpeisiin muokattua </w:t>
      </w:r>
      <w:r w:rsidR="00A5410C">
        <w:rPr>
          <w:rFonts w:ascii="Times New Roman" w:hAnsi="Times New Roman"/>
          <w:sz w:val="24"/>
          <w:szCs w:val="24"/>
        </w:rPr>
        <w:t>panos-tuotos</w:t>
      </w:r>
      <w:r>
        <w:rPr>
          <w:rFonts w:ascii="Times New Roman" w:hAnsi="Times New Roman"/>
          <w:sz w:val="24"/>
          <w:szCs w:val="24"/>
        </w:rPr>
        <w:t>mallia. Kotitalouksien tulonjakovaikutu</w:t>
      </w:r>
      <w:r w:rsidR="005E4BFC">
        <w:rPr>
          <w:rFonts w:ascii="Times New Roman" w:hAnsi="Times New Roman"/>
          <w:sz w:val="24"/>
          <w:szCs w:val="24"/>
        </w:rPr>
        <w:t xml:space="preserve">sten arvioinnissa hyödynnetään </w:t>
      </w:r>
      <w:r>
        <w:rPr>
          <w:rFonts w:ascii="Times New Roman" w:hAnsi="Times New Roman"/>
          <w:sz w:val="24"/>
          <w:szCs w:val="24"/>
        </w:rPr>
        <w:t>Tilastokeskuksen kul</w:t>
      </w:r>
      <w:r w:rsidR="005E4BFC">
        <w:rPr>
          <w:rFonts w:ascii="Times New Roman" w:hAnsi="Times New Roman"/>
          <w:sz w:val="24"/>
          <w:szCs w:val="24"/>
        </w:rPr>
        <w:t>utus</w:t>
      </w:r>
      <w:r w:rsidR="00347C2E">
        <w:rPr>
          <w:rFonts w:ascii="Times New Roman" w:hAnsi="Times New Roman"/>
          <w:sz w:val="24"/>
          <w:szCs w:val="24"/>
        </w:rPr>
        <w:softHyphen/>
      </w:r>
      <w:r w:rsidR="005E4BFC">
        <w:rPr>
          <w:rFonts w:ascii="Times New Roman" w:hAnsi="Times New Roman"/>
          <w:sz w:val="24"/>
          <w:szCs w:val="24"/>
        </w:rPr>
        <w:t xml:space="preserve">tutkimuksen perusaineistoa </w:t>
      </w:r>
      <w:r>
        <w:rPr>
          <w:rFonts w:ascii="Times New Roman" w:hAnsi="Times New Roman"/>
          <w:sz w:val="24"/>
          <w:szCs w:val="24"/>
        </w:rPr>
        <w:t xml:space="preserve">vuodelta 2006 (Tilastokeskus 2009). </w:t>
      </w:r>
    </w:p>
    <w:p w14:paraId="41BCF2F4" w14:textId="77777777" w:rsidR="00B574B3" w:rsidRDefault="00727373" w:rsidP="006775B6">
      <w:pPr>
        <w:jc w:val="both"/>
        <w:rPr>
          <w:rFonts w:ascii="Times New Roman" w:hAnsi="Times New Roman"/>
          <w:sz w:val="24"/>
          <w:szCs w:val="24"/>
        </w:rPr>
      </w:pPr>
      <w:r>
        <w:rPr>
          <w:rFonts w:ascii="Times New Roman" w:hAnsi="Times New Roman"/>
          <w:sz w:val="24"/>
          <w:szCs w:val="24"/>
        </w:rPr>
        <w:t>ENVIMAT mallin tiedot</w:t>
      </w:r>
      <w:r w:rsidR="00B574B3">
        <w:rPr>
          <w:rFonts w:ascii="Times New Roman" w:hAnsi="Times New Roman"/>
          <w:sz w:val="24"/>
          <w:szCs w:val="24"/>
        </w:rPr>
        <w:t xml:space="preserve"> ovat vuodelta 2005 ja kulutustutkimuksen aineisto vuodelta 2006. ENVIMAT mallin tulokset ja kulutustutkimuksen perusaineistosta muokatut tiedot</w:t>
      </w:r>
      <w:r w:rsidR="00C2086E">
        <w:rPr>
          <w:rFonts w:ascii="Times New Roman" w:hAnsi="Times New Roman"/>
          <w:sz w:val="24"/>
          <w:szCs w:val="24"/>
        </w:rPr>
        <w:t xml:space="preserve"> </w:t>
      </w:r>
      <w:r w:rsidR="00A5410C">
        <w:rPr>
          <w:rFonts w:ascii="Times New Roman" w:hAnsi="Times New Roman"/>
          <w:sz w:val="24"/>
          <w:szCs w:val="24"/>
        </w:rPr>
        <w:t>on deflatoitu</w:t>
      </w:r>
      <w:r w:rsidR="00B574B3">
        <w:rPr>
          <w:rFonts w:ascii="Times New Roman" w:hAnsi="Times New Roman"/>
          <w:sz w:val="24"/>
          <w:szCs w:val="24"/>
        </w:rPr>
        <w:t xml:space="preserve"> vuoden 2010 hintatasoon, jotta energiaverojen osuudet kotitalouksien kokonaismenoista olisivat paremmin verra</w:t>
      </w:r>
      <w:r w:rsidR="005E4BFC">
        <w:rPr>
          <w:rFonts w:ascii="Times New Roman" w:hAnsi="Times New Roman"/>
          <w:sz w:val="24"/>
          <w:szCs w:val="24"/>
        </w:rPr>
        <w:t xml:space="preserve">nnollisia hintojen nykytasoon. </w:t>
      </w:r>
      <w:r w:rsidR="00B574B3">
        <w:rPr>
          <w:rFonts w:ascii="Times New Roman" w:hAnsi="Times New Roman"/>
          <w:sz w:val="24"/>
          <w:szCs w:val="24"/>
        </w:rPr>
        <w:t>Selvityksessä käytetyt laskentamenetelmät on esitetty tarkemmin liitteessä</w:t>
      </w:r>
      <w:r w:rsidR="00347C2E">
        <w:rPr>
          <w:rFonts w:ascii="Times New Roman" w:hAnsi="Times New Roman"/>
          <w:sz w:val="24"/>
          <w:szCs w:val="24"/>
        </w:rPr>
        <w:t xml:space="preserve"> laskentamenetelmät</w:t>
      </w:r>
      <w:r w:rsidR="00B574B3">
        <w:rPr>
          <w:rFonts w:ascii="Times New Roman" w:hAnsi="Times New Roman"/>
          <w:sz w:val="24"/>
          <w:szCs w:val="24"/>
        </w:rPr>
        <w:t>.</w:t>
      </w:r>
    </w:p>
    <w:p w14:paraId="08C16544" w14:textId="77777777" w:rsidR="002E2A43" w:rsidRDefault="00B574B3" w:rsidP="006775B6">
      <w:pPr>
        <w:jc w:val="both"/>
        <w:rPr>
          <w:rFonts w:ascii="Times New Roman" w:hAnsi="Times New Roman"/>
          <w:sz w:val="24"/>
          <w:szCs w:val="24"/>
        </w:rPr>
      </w:pPr>
      <w:r>
        <w:rPr>
          <w:rFonts w:ascii="Times New Roman" w:hAnsi="Times New Roman"/>
          <w:sz w:val="24"/>
          <w:szCs w:val="24"/>
        </w:rPr>
        <w:t>Käytetyt tutkimusmenetelmät sisältävät puutteita. ENVIMAT mallissa tuotantotoiminnan ja kotitalouksien energiankulutuksen rakenne</w:t>
      </w:r>
      <w:r w:rsidR="00BB23C0">
        <w:rPr>
          <w:rFonts w:ascii="Times New Roman" w:hAnsi="Times New Roman"/>
          <w:sz w:val="24"/>
          <w:szCs w:val="24"/>
        </w:rPr>
        <w:t xml:space="preserve"> noudattavat vuoden 2005 tilanne</w:t>
      </w:r>
      <w:r>
        <w:rPr>
          <w:rFonts w:ascii="Times New Roman" w:hAnsi="Times New Roman"/>
          <w:sz w:val="24"/>
          <w:szCs w:val="24"/>
        </w:rPr>
        <w:t>tta. Kotitalouksien kulutusta ja tuloja kuvaava kulutustutkimus puolestaan edustaa vuoden 2006 rakennetta ja reaalitasoja. Lisäksi tutkimuksessa oletetaan, että veronkorotukset siirtyvät täysimääräisesti tuotteiden loppukäyttäjien maksettaviksi siltä osin kun veroja ei tuotantoketjussa hyvitetä. Energiaverojen muutoksilla pyritään vaikuttamaan energiankulutukseen, mutta</w:t>
      </w:r>
      <w:r w:rsidR="00C2086E">
        <w:rPr>
          <w:rFonts w:ascii="Times New Roman" w:hAnsi="Times New Roman"/>
          <w:sz w:val="24"/>
          <w:szCs w:val="24"/>
        </w:rPr>
        <w:t xml:space="preserve"> </w:t>
      </w:r>
      <w:r>
        <w:rPr>
          <w:rFonts w:ascii="Times New Roman" w:hAnsi="Times New Roman"/>
          <w:sz w:val="24"/>
          <w:szCs w:val="24"/>
        </w:rPr>
        <w:t>myöskään tätä vaikutusta eli energian kulutukse</w:t>
      </w:r>
      <w:r w:rsidR="00123CF4">
        <w:rPr>
          <w:rFonts w:ascii="Times New Roman" w:hAnsi="Times New Roman"/>
          <w:sz w:val="24"/>
          <w:szCs w:val="24"/>
        </w:rPr>
        <w:t>n hintajoustoja ei selvitykseen</w:t>
      </w:r>
      <w:r>
        <w:rPr>
          <w:rFonts w:ascii="Times New Roman" w:hAnsi="Times New Roman"/>
          <w:sz w:val="24"/>
          <w:szCs w:val="24"/>
        </w:rPr>
        <w:t xml:space="preserve"> ole </w:t>
      </w:r>
      <w:r w:rsidR="00123CF4">
        <w:rPr>
          <w:rFonts w:ascii="Times New Roman" w:hAnsi="Times New Roman"/>
          <w:sz w:val="24"/>
          <w:szCs w:val="24"/>
        </w:rPr>
        <w:t>voitu ottaa mukaan</w:t>
      </w:r>
      <w:r>
        <w:rPr>
          <w:rFonts w:ascii="Times New Roman" w:hAnsi="Times New Roman"/>
          <w:sz w:val="24"/>
          <w:szCs w:val="24"/>
        </w:rPr>
        <w:t xml:space="preserve">. </w:t>
      </w:r>
    </w:p>
    <w:p w14:paraId="7E56A762" w14:textId="77777777" w:rsidR="00B574B3" w:rsidRDefault="00B574B3">
      <w:pPr>
        <w:rPr>
          <w:rFonts w:ascii="Times New Roman" w:hAnsi="Times New Roman"/>
          <w:sz w:val="24"/>
          <w:szCs w:val="24"/>
        </w:rPr>
      </w:pPr>
    </w:p>
    <w:p w14:paraId="5D6057F5" w14:textId="77777777" w:rsidR="00B574B3" w:rsidRDefault="00B574B3">
      <w:pPr>
        <w:rPr>
          <w:rFonts w:ascii="Times New Roman" w:hAnsi="Times New Roman"/>
          <w:sz w:val="24"/>
          <w:szCs w:val="24"/>
        </w:rPr>
      </w:pPr>
    </w:p>
    <w:p w14:paraId="541B277F" w14:textId="77777777" w:rsidR="00B574B3" w:rsidRPr="00D86401" w:rsidRDefault="00B574B3" w:rsidP="009D4E90">
      <w:pPr>
        <w:pStyle w:val="Otsikko1"/>
      </w:pPr>
      <w:bookmarkStart w:id="3" w:name="_Toc327190982"/>
      <w:r w:rsidRPr="00D86401">
        <w:lastRenderedPageBreak/>
        <w:t>Energiaverojen korotukset</w:t>
      </w:r>
      <w:bookmarkEnd w:id="3"/>
    </w:p>
    <w:p w14:paraId="30C716A5" w14:textId="77777777" w:rsidR="00B574B3" w:rsidRDefault="00B574B3" w:rsidP="00D86401">
      <w:pPr>
        <w:jc w:val="both"/>
        <w:rPr>
          <w:rFonts w:ascii="Times New Roman" w:hAnsi="Times New Roman"/>
          <w:sz w:val="24"/>
          <w:szCs w:val="24"/>
        </w:rPr>
      </w:pPr>
      <w:r>
        <w:rPr>
          <w:rFonts w:ascii="Times New Roman" w:hAnsi="Times New Roman"/>
          <w:sz w:val="24"/>
          <w:szCs w:val="24"/>
        </w:rPr>
        <w:t>Tässä selvityksessä lasketaan energiaverojen kustannusvaikutukset kotitalouksien ostovoimaan kolmella eri energiaverojen tasolla: vuonna 2010 voimassa olleella verotuksen tasolla, vuoden 2012 tasolla sekä aiemmin päätettyjen, mutta vasta vuosina 2013 - 2015 toteutettavien energia- ja arvonlisäverotukseen tehtävien muutosten tasolla (näitä korotuksia kutsutaan tutkimuksessa vuoden 2015 tasoksi). Taulukossa 1 on esitetty tarkastellut verotasot.</w:t>
      </w:r>
    </w:p>
    <w:p w14:paraId="60BC73CF" w14:textId="77777777" w:rsidR="00B574B3" w:rsidRPr="00E917B1" w:rsidRDefault="00B574B3" w:rsidP="00D86401">
      <w:pPr>
        <w:rPr>
          <w:rFonts w:ascii="Times New Roman" w:hAnsi="Times New Roman"/>
          <w:i/>
          <w:sz w:val="24"/>
          <w:szCs w:val="24"/>
        </w:rPr>
      </w:pPr>
      <w:r w:rsidRPr="00E917B1">
        <w:rPr>
          <w:rFonts w:ascii="Times New Roman" w:hAnsi="Times New Roman"/>
          <w:b/>
          <w:i/>
          <w:sz w:val="24"/>
          <w:szCs w:val="24"/>
        </w:rPr>
        <w:t>Taulukko 1.</w:t>
      </w:r>
      <w:r w:rsidRPr="00E917B1">
        <w:rPr>
          <w:rFonts w:ascii="Times New Roman" w:hAnsi="Times New Roman"/>
          <w:i/>
          <w:sz w:val="24"/>
          <w:szCs w:val="24"/>
        </w:rPr>
        <w:t xml:space="preserve"> Vuosien 2010, 2012 ja 2015 energiaverot</w:t>
      </w:r>
      <w:r>
        <w:rPr>
          <w:rFonts w:ascii="Times New Roman" w:hAnsi="Times New Roman"/>
          <w:i/>
          <w:sz w:val="24"/>
          <w:szCs w:val="24"/>
        </w:rPr>
        <w:t xml:space="preserve"> (Lähde: Hallituksen esitys Eduskunnalle 2010, 2011 sekä kehyspäätökset ja hallitusohjelma)</w:t>
      </w:r>
    </w:p>
    <w:tbl>
      <w:tblPr>
        <w:tblW w:w="5780" w:type="dxa"/>
        <w:tblInd w:w="1304" w:type="dxa"/>
        <w:tblCellMar>
          <w:left w:w="70" w:type="dxa"/>
          <w:right w:w="70" w:type="dxa"/>
        </w:tblCellMar>
        <w:tblLook w:val="00A0" w:firstRow="1" w:lastRow="0" w:firstColumn="1" w:lastColumn="0" w:noHBand="0" w:noVBand="0"/>
      </w:tblPr>
      <w:tblGrid>
        <w:gridCol w:w="1960"/>
        <w:gridCol w:w="940"/>
        <w:gridCol w:w="960"/>
        <w:gridCol w:w="960"/>
        <w:gridCol w:w="960"/>
      </w:tblGrid>
      <w:tr w:rsidR="00B574B3" w:rsidRPr="003B0C97" w14:paraId="212E66F1" w14:textId="77777777" w:rsidTr="00E7119F">
        <w:trPr>
          <w:trHeight w:val="300"/>
        </w:trPr>
        <w:tc>
          <w:tcPr>
            <w:tcW w:w="1960" w:type="dxa"/>
            <w:tcBorders>
              <w:top w:val="nil"/>
              <w:left w:val="nil"/>
              <w:bottom w:val="single" w:sz="4" w:space="0" w:color="auto"/>
              <w:right w:val="nil"/>
            </w:tcBorders>
            <w:noWrap/>
            <w:vAlign w:val="bottom"/>
          </w:tcPr>
          <w:p w14:paraId="38B3AB0F"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 </w:t>
            </w:r>
          </w:p>
        </w:tc>
        <w:tc>
          <w:tcPr>
            <w:tcW w:w="940" w:type="dxa"/>
            <w:tcBorders>
              <w:top w:val="nil"/>
              <w:left w:val="nil"/>
              <w:bottom w:val="single" w:sz="4" w:space="0" w:color="auto"/>
              <w:right w:val="nil"/>
            </w:tcBorders>
            <w:noWrap/>
            <w:vAlign w:val="bottom"/>
          </w:tcPr>
          <w:p w14:paraId="5FB636A3"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 </w:t>
            </w:r>
          </w:p>
        </w:tc>
        <w:tc>
          <w:tcPr>
            <w:tcW w:w="960" w:type="dxa"/>
            <w:tcBorders>
              <w:top w:val="nil"/>
              <w:left w:val="nil"/>
              <w:bottom w:val="single" w:sz="4" w:space="0" w:color="auto"/>
              <w:right w:val="nil"/>
            </w:tcBorders>
            <w:noWrap/>
            <w:vAlign w:val="bottom"/>
          </w:tcPr>
          <w:p w14:paraId="6C5B0366"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2010</w:t>
            </w:r>
          </w:p>
        </w:tc>
        <w:tc>
          <w:tcPr>
            <w:tcW w:w="960" w:type="dxa"/>
            <w:tcBorders>
              <w:top w:val="nil"/>
              <w:left w:val="nil"/>
              <w:bottom w:val="single" w:sz="4" w:space="0" w:color="auto"/>
              <w:right w:val="nil"/>
            </w:tcBorders>
            <w:noWrap/>
            <w:vAlign w:val="bottom"/>
          </w:tcPr>
          <w:p w14:paraId="7A9E4761"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2012</w:t>
            </w:r>
          </w:p>
        </w:tc>
        <w:tc>
          <w:tcPr>
            <w:tcW w:w="960" w:type="dxa"/>
            <w:tcBorders>
              <w:top w:val="nil"/>
              <w:left w:val="nil"/>
              <w:bottom w:val="single" w:sz="4" w:space="0" w:color="auto"/>
              <w:right w:val="nil"/>
            </w:tcBorders>
            <w:noWrap/>
            <w:vAlign w:val="bottom"/>
          </w:tcPr>
          <w:p w14:paraId="252540A9"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2015</w:t>
            </w:r>
          </w:p>
        </w:tc>
      </w:tr>
      <w:tr w:rsidR="00B574B3" w:rsidRPr="003B0C97" w14:paraId="4F796621" w14:textId="77777777" w:rsidTr="00E7119F">
        <w:trPr>
          <w:trHeight w:val="283"/>
        </w:trPr>
        <w:tc>
          <w:tcPr>
            <w:tcW w:w="1960" w:type="dxa"/>
            <w:tcBorders>
              <w:top w:val="nil"/>
              <w:left w:val="nil"/>
              <w:bottom w:val="nil"/>
              <w:right w:val="nil"/>
            </w:tcBorders>
            <w:noWrap/>
            <w:vAlign w:val="bottom"/>
          </w:tcPr>
          <w:p w14:paraId="0C2FF356"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 xml:space="preserve">Moottoribensiini </w:t>
            </w:r>
          </w:p>
        </w:tc>
        <w:tc>
          <w:tcPr>
            <w:tcW w:w="940" w:type="dxa"/>
            <w:tcBorders>
              <w:top w:val="nil"/>
              <w:left w:val="nil"/>
              <w:bottom w:val="nil"/>
              <w:right w:val="nil"/>
            </w:tcBorders>
            <w:noWrap/>
            <w:vAlign w:val="bottom"/>
          </w:tcPr>
          <w:p w14:paraId="2696DE2B"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snt/l</w:t>
            </w:r>
          </w:p>
        </w:tc>
        <w:tc>
          <w:tcPr>
            <w:tcW w:w="960" w:type="dxa"/>
            <w:tcBorders>
              <w:top w:val="nil"/>
              <w:left w:val="nil"/>
              <w:bottom w:val="nil"/>
              <w:right w:val="nil"/>
            </w:tcBorders>
            <w:noWrap/>
            <w:vAlign w:val="bottom"/>
          </w:tcPr>
          <w:p w14:paraId="04D5ECBE"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62,70</w:t>
            </w:r>
          </w:p>
        </w:tc>
        <w:tc>
          <w:tcPr>
            <w:tcW w:w="960" w:type="dxa"/>
            <w:tcBorders>
              <w:top w:val="nil"/>
              <w:left w:val="nil"/>
              <w:bottom w:val="nil"/>
              <w:right w:val="nil"/>
            </w:tcBorders>
            <w:noWrap/>
            <w:vAlign w:val="bottom"/>
          </w:tcPr>
          <w:p w14:paraId="1DE7F5B0"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62,89</w:t>
            </w:r>
          </w:p>
        </w:tc>
        <w:tc>
          <w:tcPr>
            <w:tcW w:w="960" w:type="dxa"/>
            <w:tcBorders>
              <w:top w:val="nil"/>
              <w:left w:val="nil"/>
              <w:bottom w:val="nil"/>
              <w:right w:val="nil"/>
            </w:tcBorders>
            <w:noWrap/>
            <w:vAlign w:val="bottom"/>
          </w:tcPr>
          <w:p w14:paraId="66C93169"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65,10</w:t>
            </w:r>
          </w:p>
        </w:tc>
      </w:tr>
      <w:tr w:rsidR="00B574B3" w:rsidRPr="003B0C97" w14:paraId="00BA49A0" w14:textId="77777777" w:rsidTr="00E7119F">
        <w:trPr>
          <w:trHeight w:val="283"/>
        </w:trPr>
        <w:tc>
          <w:tcPr>
            <w:tcW w:w="1960" w:type="dxa"/>
            <w:tcBorders>
              <w:top w:val="nil"/>
              <w:left w:val="nil"/>
              <w:bottom w:val="nil"/>
              <w:right w:val="nil"/>
            </w:tcBorders>
            <w:noWrap/>
            <w:vAlign w:val="bottom"/>
          </w:tcPr>
          <w:p w14:paraId="7F4FE9C9"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 xml:space="preserve">Dieselöljy </w:t>
            </w:r>
          </w:p>
        </w:tc>
        <w:tc>
          <w:tcPr>
            <w:tcW w:w="940" w:type="dxa"/>
            <w:tcBorders>
              <w:top w:val="nil"/>
              <w:left w:val="nil"/>
              <w:bottom w:val="nil"/>
              <w:right w:val="nil"/>
            </w:tcBorders>
            <w:noWrap/>
            <w:vAlign w:val="bottom"/>
          </w:tcPr>
          <w:p w14:paraId="37C8B024"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snt/l</w:t>
            </w:r>
          </w:p>
        </w:tc>
        <w:tc>
          <w:tcPr>
            <w:tcW w:w="960" w:type="dxa"/>
            <w:tcBorders>
              <w:top w:val="nil"/>
              <w:left w:val="nil"/>
              <w:bottom w:val="nil"/>
              <w:right w:val="nil"/>
            </w:tcBorders>
            <w:noWrap/>
            <w:vAlign w:val="bottom"/>
          </w:tcPr>
          <w:p w14:paraId="291A331D"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36,40</w:t>
            </w:r>
          </w:p>
        </w:tc>
        <w:tc>
          <w:tcPr>
            <w:tcW w:w="960" w:type="dxa"/>
            <w:tcBorders>
              <w:top w:val="nil"/>
              <w:left w:val="nil"/>
              <w:bottom w:val="nil"/>
              <w:right w:val="nil"/>
            </w:tcBorders>
            <w:noWrap/>
            <w:vAlign w:val="bottom"/>
          </w:tcPr>
          <w:p w14:paraId="6D27B7CC"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46,19</w:t>
            </w:r>
          </w:p>
        </w:tc>
        <w:tc>
          <w:tcPr>
            <w:tcW w:w="960" w:type="dxa"/>
            <w:tcBorders>
              <w:top w:val="nil"/>
              <w:left w:val="nil"/>
              <w:bottom w:val="nil"/>
              <w:right w:val="nil"/>
            </w:tcBorders>
            <w:noWrap/>
            <w:vAlign w:val="bottom"/>
          </w:tcPr>
          <w:p w14:paraId="27C30C44"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48,76</w:t>
            </w:r>
          </w:p>
        </w:tc>
      </w:tr>
      <w:tr w:rsidR="00B574B3" w:rsidRPr="003B0C97" w14:paraId="1AC89368" w14:textId="77777777" w:rsidTr="00E7119F">
        <w:trPr>
          <w:trHeight w:val="283"/>
        </w:trPr>
        <w:tc>
          <w:tcPr>
            <w:tcW w:w="1960" w:type="dxa"/>
            <w:tcBorders>
              <w:top w:val="nil"/>
              <w:left w:val="nil"/>
              <w:bottom w:val="nil"/>
              <w:right w:val="nil"/>
            </w:tcBorders>
            <w:noWrap/>
            <w:vAlign w:val="bottom"/>
          </w:tcPr>
          <w:p w14:paraId="05A72617"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Kevyt polttoöljy</w:t>
            </w:r>
          </w:p>
        </w:tc>
        <w:tc>
          <w:tcPr>
            <w:tcW w:w="940" w:type="dxa"/>
            <w:tcBorders>
              <w:top w:val="nil"/>
              <w:left w:val="nil"/>
              <w:bottom w:val="nil"/>
              <w:right w:val="nil"/>
            </w:tcBorders>
            <w:noWrap/>
            <w:vAlign w:val="bottom"/>
          </w:tcPr>
          <w:p w14:paraId="786D0536"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snt/l</w:t>
            </w:r>
          </w:p>
        </w:tc>
        <w:tc>
          <w:tcPr>
            <w:tcW w:w="960" w:type="dxa"/>
            <w:tcBorders>
              <w:top w:val="nil"/>
              <w:left w:val="nil"/>
              <w:bottom w:val="nil"/>
              <w:right w:val="nil"/>
            </w:tcBorders>
            <w:noWrap/>
            <w:vAlign w:val="bottom"/>
          </w:tcPr>
          <w:p w14:paraId="096DF18C"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8,53</w:t>
            </w:r>
          </w:p>
        </w:tc>
        <w:tc>
          <w:tcPr>
            <w:tcW w:w="960" w:type="dxa"/>
            <w:tcBorders>
              <w:top w:val="nil"/>
              <w:left w:val="nil"/>
              <w:bottom w:val="nil"/>
              <w:right w:val="nil"/>
            </w:tcBorders>
            <w:noWrap/>
            <w:vAlign w:val="bottom"/>
          </w:tcPr>
          <w:p w14:paraId="59D844ED"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15,97</w:t>
            </w:r>
          </w:p>
        </w:tc>
        <w:tc>
          <w:tcPr>
            <w:tcW w:w="960" w:type="dxa"/>
            <w:tcBorders>
              <w:top w:val="nil"/>
              <w:left w:val="nil"/>
              <w:bottom w:val="nil"/>
              <w:right w:val="nil"/>
            </w:tcBorders>
            <w:noWrap/>
            <w:vAlign w:val="bottom"/>
          </w:tcPr>
          <w:p w14:paraId="58D9135C" w14:textId="77777777" w:rsidR="00B574B3" w:rsidRPr="00E917B1" w:rsidRDefault="006F75B1" w:rsidP="00E917B1">
            <w:pPr>
              <w:spacing w:after="0" w:line="240" w:lineRule="auto"/>
              <w:jc w:val="right"/>
              <w:rPr>
                <w:rFonts w:cs="Calibri"/>
                <w:color w:val="000000"/>
                <w:lang w:eastAsia="fi-FI"/>
              </w:rPr>
            </w:pPr>
            <w:r>
              <w:rPr>
                <w:rFonts w:cs="Calibri"/>
                <w:color w:val="000000"/>
                <w:lang w:eastAsia="fi-FI"/>
              </w:rPr>
              <w:t>15,97</w:t>
            </w:r>
          </w:p>
        </w:tc>
      </w:tr>
      <w:tr w:rsidR="00B574B3" w:rsidRPr="003B0C97" w14:paraId="76FE5F69" w14:textId="77777777" w:rsidTr="00E7119F">
        <w:trPr>
          <w:trHeight w:val="283"/>
        </w:trPr>
        <w:tc>
          <w:tcPr>
            <w:tcW w:w="1960" w:type="dxa"/>
            <w:tcBorders>
              <w:top w:val="nil"/>
              <w:left w:val="nil"/>
              <w:bottom w:val="nil"/>
              <w:right w:val="nil"/>
            </w:tcBorders>
            <w:noWrap/>
            <w:vAlign w:val="bottom"/>
          </w:tcPr>
          <w:p w14:paraId="1BCBAE3D"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Raskas polttoöljy</w:t>
            </w:r>
          </w:p>
        </w:tc>
        <w:tc>
          <w:tcPr>
            <w:tcW w:w="940" w:type="dxa"/>
            <w:tcBorders>
              <w:top w:val="nil"/>
              <w:left w:val="nil"/>
              <w:bottom w:val="nil"/>
              <w:right w:val="nil"/>
            </w:tcBorders>
            <w:noWrap/>
            <w:vAlign w:val="bottom"/>
          </w:tcPr>
          <w:p w14:paraId="6FE80923"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snt/kg</w:t>
            </w:r>
          </w:p>
        </w:tc>
        <w:tc>
          <w:tcPr>
            <w:tcW w:w="960" w:type="dxa"/>
            <w:tcBorders>
              <w:top w:val="nil"/>
              <w:left w:val="nil"/>
              <w:bottom w:val="nil"/>
              <w:right w:val="nil"/>
            </w:tcBorders>
            <w:noWrap/>
            <w:vAlign w:val="bottom"/>
          </w:tcPr>
          <w:p w14:paraId="33B37FA6"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6,70</w:t>
            </w:r>
          </w:p>
        </w:tc>
        <w:tc>
          <w:tcPr>
            <w:tcW w:w="960" w:type="dxa"/>
            <w:tcBorders>
              <w:top w:val="nil"/>
              <w:left w:val="nil"/>
              <w:bottom w:val="nil"/>
              <w:right w:val="nil"/>
            </w:tcBorders>
            <w:noWrap/>
            <w:vAlign w:val="bottom"/>
          </w:tcPr>
          <w:p w14:paraId="0834C791"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18,79</w:t>
            </w:r>
          </w:p>
        </w:tc>
        <w:tc>
          <w:tcPr>
            <w:tcW w:w="960" w:type="dxa"/>
            <w:tcBorders>
              <w:top w:val="nil"/>
              <w:left w:val="nil"/>
              <w:bottom w:val="nil"/>
              <w:right w:val="nil"/>
            </w:tcBorders>
            <w:noWrap/>
            <w:vAlign w:val="bottom"/>
          </w:tcPr>
          <w:p w14:paraId="6BD8CB5B"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18,79</w:t>
            </w:r>
          </w:p>
        </w:tc>
      </w:tr>
      <w:tr w:rsidR="00B574B3" w:rsidRPr="003B0C97" w14:paraId="75458510" w14:textId="77777777" w:rsidTr="00E7119F">
        <w:trPr>
          <w:trHeight w:val="283"/>
        </w:trPr>
        <w:tc>
          <w:tcPr>
            <w:tcW w:w="1960" w:type="dxa"/>
            <w:tcBorders>
              <w:top w:val="nil"/>
              <w:left w:val="nil"/>
              <w:bottom w:val="nil"/>
              <w:right w:val="nil"/>
            </w:tcBorders>
            <w:noWrap/>
            <w:vAlign w:val="bottom"/>
          </w:tcPr>
          <w:p w14:paraId="179F3B01"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Kivihiili</w:t>
            </w:r>
          </w:p>
        </w:tc>
        <w:tc>
          <w:tcPr>
            <w:tcW w:w="940" w:type="dxa"/>
            <w:tcBorders>
              <w:top w:val="nil"/>
              <w:left w:val="nil"/>
              <w:bottom w:val="nil"/>
              <w:right w:val="nil"/>
            </w:tcBorders>
            <w:noWrap/>
            <w:vAlign w:val="bottom"/>
          </w:tcPr>
          <w:p w14:paraId="52A75294"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€/t</w:t>
            </w:r>
          </w:p>
        </w:tc>
        <w:tc>
          <w:tcPr>
            <w:tcW w:w="960" w:type="dxa"/>
            <w:tcBorders>
              <w:top w:val="nil"/>
              <w:left w:val="nil"/>
              <w:bottom w:val="nil"/>
              <w:right w:val="nil"/>
            </w:tcBorders>
            <w:noWrap/>
            <w:vAlign w:val="bottom"/>
          </w:tcPr>
          <w:p w14:paraId="7817E0F6"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50,50</w:t>
            </w:r>
          </w:p>
        </w:tc>
        <w:tc>
          <w:tcPr>
            <w:tcW w:w="960" w:type="dxa"/>
            <w:tcBorders>
              <w:top w:val="nil"/>
              <w:left w:val="nil"/>
              <w:bottom w:val="nil"/>
              <w:right w:val="nil"/>
            </w:tcBorders>
            <w:noWrap/>
            <w:vAlign w:val="bottom"/>
          </w:tcPr>
          <w:p w14:paraId="471E3E78"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128,09</w:t>
            </w:r>
          </w:p>
        </w:tc>
        <w:tc>
          <w:tcPr>
            <w:tcW w:w="960" w:type="dxa"/>
            <w:tcBorders>
              <w:top w:val="nil"/>
              <w:left w:val="nil"/>
              <w:bottom w:val="nil"/>
              <w:right w:val="nil"/>
            </w:tcBorders>
            <w:noWrap/>
            <w:vAlign w:val="bottom"/>
          </w:tcPr>
          <w:p w14:paraId="6E4F5A3B"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128,09</w:t>
            </w:r>
          </w:p>
        </w:tc>
      </w:tr>
      <w:tr w:rsidR="00B574B3" w:rsidRPr="003B0C97" w14:paraId="489C7CEC" w14:textId="77777777" w:rsidTr="00E7119F">
        <w:trPr>
          <w:trHeight w:val="283"/>
        </w:trPr>
        <w:tc>
          <w:tcPr>
            <w:tcW w:w="1960" w:type="dxa"/>
            <w:tcBorders>
              <w:top w:val="nil"/>
              <w:left w:val="nil"/>
              <w:bottom w:val="nil"/>
              <w:right w:val="nil"/>
            </w:tcBorders>
            <w:noWrap/>
            <w:vAlign w:val="bottom"/>
          </w:tcPr>
          <w:p w14:paraId="070EABEE"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Maakaasu</w:t>
            </w:r>
          </w:p>
        </w:tc>
        <w:tc>
          <w:tcPr>
            <w:tcW w:w="940" w:type="dxa"/>
            <w:tcBorders>
              <w:top w:val="nil"/>
              <w:left w:val="nil"/>
              <w:bottom w:val="nil"/>
              <w:right w:val="nil"/>
            </w:tcBorders>
            <w:noWrap/>
            <w:vAlign w:val="bottom"/>
          </w:tcPr>
          <w:p w14:paraId="58E67957"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€/MWh</w:t>
            </w:r>
          </w:p>
        </w:tc>
        <w:tc>
          <w:tcPr>
            <w:tcW w:w="960" w:type="dxa"/>
            <w:tcBorders>
              <w:top w:val="nil"/>
              <w:left w:val="nil"/>
              <w:bottom w:val="nil"/>
              <w:right w:val="nil"/>
            </w:tcBorders>
            <w:noWrap/>
            <w:vAlign w:val="bottom"/>
          </w:tcPr>
          <w:p w14:paraId="1CC9DB12"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2,10</w:t>
            </w:r>
          </w:p>
        </w:tc>
        <w:tc>
          <w:tcPr>
            <w:tcW w:w="960" w:type="dxa"/>
            <w:tcBorders>
              <w:top w:val="nil"/>
              <w:left w:val="nil"/>
              <w:bottom w:val="nil"/>
              <w:right w:val="nil"/>
            </w:tcBorders>
            <w:noWrap/>
            <w:vAlign w:val="bottom"/>
          </w:tcPr>
          <w:p w14:paraId="06E5FA90"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9,024</w:t>
            </w:r>
          </w:p>
        </w:tc>
        <w:tc>
          <w:tcPr>
            <w:tcW w:w="960" w:type="dxa"/>
            <w:tcBorders>
              <w:top w:val="nil"/>
              <w:left w:val="nil"/>
              <w:bottom w:val="nil"/>
              <w:right w:val="nil"/>
            </w:tcBorders>
            <w:noWrap/>
            <w:vAlign w:val="bottom"/>
          </w:tcPr>
          <w:p w14:paraId="3FCA228E"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13,724</w:t>
            </w:r>
          </w:p>
        </w:tc>
      </w:tr>
      <w:tr w:rsidR="00B574B3" w:rsidRPr="003B0C97" w14:paraId="00A3A8FC" w14:textId="77777777" w:rsidTr="00E7119F">
        <w:trPr>
          <w:trHeight w:val="283"/>
        </w:trPr>
        <w:tc>
          <w:tcPr>
            <w:tcW w:w="1960" w:type="dxa"/>
            <w:tcBorders>
              <w:top w:val="nil"/>
              <w:left w:val="nil"/>
              <w:bottom w:val="nil"/>
              <w:right w:val="nil"/>
            </w:tcBorders>
            <w:noWrap/>
            <w:vAlign w:val="bottom"/>
          </w:tcPr>
          <w:p w14:paraId="367153AF"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Turve</w:t>
            </w:r>
          </w:p>
        </w:tc>
        <w:tc>
          <w:tcPr>
            <w:tcW w:w="940" w:type="dxa"/>
            <w:tcBorders>
              <w:top w:val="nil"/>
              <w:left w:val="nil"/>
              <w:bottom w:val="nil"/>
              <w:right w:val="nil"/>
            </w:tcBorders>
            <w:noWrap/>
            <w:vAlign w:val="bottom"/>
          </w:tcPr>
          <w:p w14:paraId="34A43445"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€/MWh</w:t>
            </w:r>
          </w:p>
        </w:tc>
        <w:tc>
          <w:tcPr>
            <w:tcW w:w="960" w:type="dxa"/>
            <w:tcBorders>
              <w:top w:val="nil"/>
              <w:left w:val="nil"/>
              <w:bottom w:val="nil"/>
              <w:right w:val="nil"/>
            </w:tcBorders>
            <w:noWrap/>
            <w:vAlign w:val="bottom"/>
          </w:tcPr>
          <w:p w14:paraId="1A7610C9"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0,00</w:t>
            </w:r>
          </w:p>
        </w:tc>
        <w:tc>
          <w:tcPr>
            <w:tcW w:w="960" w:type="dxa"/>
            <w:tcBorders>
              <w:top w:val="nil"/>
              <w:left w:val="nil"/>
              <w:bottom w:val="nil"/>
              <w:right w:val="nil"/>
            </w:tcBorders>
            <w:noWrap/>
            <w:vAlign w:val="bottom"/>
          </w:tcPr>
          <w:p w14:paraId="3E6EC111"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1,90</w:t>
            </w:r>
          </w:p>
        </w:tc>
        <w:tc>
          <w:tcPr>
            <w:tcW w:w="960" w:type="dxa"/>
            <w:tcBorders>
              <w:top w:val="nil"/>
              <w:left w:val="nil"/>
              <w:bottom w:val="nil"/>
              <w:right w:val="nil"/>
            </w:tcBorders>
            <w:noWrap/>
            <w:vAlign w:val="bottom"/>
          </w:tcPr>
          <w:p w14:paraId="39F17F0B"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5,90</w:t>
            </w:r>
          </w:p>
        </w:tc>
      </w:tr>
      <w:tr w:rsidR="00B574B3" w:rsidRPr="003B0C97" w14:paraId="7835C2D0" w14:textId="77777777" w:rsidTr="00E7119F">
        <w:trPr>
          <w:trHeight w:val="283"/>
        </w:trPr>
        <w:tc>
          <w:tcPr>
            <w:tcW w:w="1960" w:type="dxa"/>
            <w:tcBorders>
              <w:top w:val="nil"/>
              <w:left w:val="nil"/>
              <w:bottom w:val="nil"/>
              <w:right w:val="nil"/>
            </w:tcBorders>
            <w:noWrap/>
            <w:vAlign w:val="bottom"/>
          </w:tcPr>
          <w:p w14:paraId="219672D0"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Sähkö vl I</w:t>
            </w:r>
          </w:p>
        </w:tc>
        <w:tc>
          <w:tcPr>
            <w:tcW w:w="940" w:type="dxa"/>
            <w:tcBorders>
              <w:top w:val="nil"/>
              <w:left w:val="nil"/>
              <w:bottom w:val="nil"/>
              <w:right w:val="nil"/>
            </w:tcBorders>
            <w:noWrap/>
            <w:vAlign w:val="bottom"/>
          </w:tcPr>
          <w:p w14:paraId="23BF4FEF"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snt/kWh</w:t>
            </w:r>
          </w:p>
        </w:tc>
        <w:tc>
          <w:tcPr>
            <w:tcW w:w="960" w:type="dxa"/>
            <w:tcBorders>
              <w:top w:val="nil"/>
              <w:left w:val="nil"/>
              <w:bottom w:val="nil"/>
              <w:right w:val="nil"/>
            </w:tcBorders>
            <w:noWrap/>
            <w:vAlign w:val="bottom"/>
          </w:tcPr>
          <w:p w14:paraId="7D6A55E8"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0,883</w:t>
            </w:r>
          </w:p>
        </w:tc>
        <w:tc>
          <w:tcPr>
            <w:tcW w:w="960" w:type="dxa"/>
            <w:tcBorders>
              <w:top w:val="nil"/>
              <w:left w:val="nil"/>
              <w:bottom w:val="nil"/>
              <w:right w:val="nil"/>
            </w:tcBorders>
            <w:noWrap/>
            <w:vAlign w:val="bottom"/>
          </w:tcPr>
          <w:p w14:paraId="736E91D0"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1,703</w:t>
            </w:r>
          </w:p>
        </w:tc>
        <w:tc>
          <w:tcPr>
            <w:tcW w:w="960" w:type="dxa"/>
            <w:tcBorders>
              <w:top w:val="nil"/>
              <w:left w:val="nil"/>
              <w:bottom w:val="nil"/>
              <w:right w:val="nil"/>
            </w:tcBorders>
            <w:noWrap/>
            <w:vAlign w:val="bottom"/>
          </w:tcPr>
          <w:p w14:paraId="73DCC9C7"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1,703</w:t>
            </w:r>
          </w:p>
        </w:tc>
      </w:tr>
      <w:tr w:rsidR="00B574B3" w:rsidRPr="003B0C97" w14:paraId="6DCF334A" w14:textId="77777777" w:rsidTr="00E7119F">
        <w:trPr>
          <w:trHeight w:val="283"/>
        </w:trPr>
        <w:tc>
          <w:tcPr>
            <w:tcW w:w="1960" w:type="dxa"/>
            <w:tcBorders>
              <w:top w:val="nil"/>
              <w:left w:val="nil"/>
              <w:bottom w:val="single" w:sz="4" w:space="0" w:color="auto"/>
              <w:right w:val="nil"/>
            </w:tcBorders>
            <w:noWrap/>
            <w:vAlign w:val="bottom"/>
          </w:tcPr>
          <w:p w14:paraId="417F9894"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 xml:space="preserve">Sähkö vl II </w:t>
            </w:r>
          </w:p>
        </w:tc>
        <w:tc>
          <w:tcPr>
            <w:tcW w:w="940" w:type="dxa"/>
            <w:tcBorders>
              <w:top w:val="nil"/>
              <w:left w:val="nil"/>
              <w:bottom w:val="single" w:sz="4" w:space="0" w:color="auto"/>
              <w:right w:val="nil"/>
            </w:tcBorders>
            <w:noWrap/>
            <w:vAlign w:val="bottom"/>
          </w:tcPr>
          <w:p w14:paraId="570D38B6" w14:textId="77777777" w:rsidR="00B574B3" w:rsidRPr="00E917B1" w:rsidRDefault="00B574B3" w:rsidP="00E917B1">
            <w:pPr>
              <w:spacing w:after="0" w:line="240" w:lineRule="auto"/>
              <w:rPr>
                <w:rFonts w:cs="Calibri"/>
                <w:color w:val="000000"/>
                <w:lang w:eastAsia="fi-FI"/>
              </w:rPr>
            </w:pPr>
            <w:r w:rsidRPr="00E917B1">
              <w:rPr>
                <w:rFonts w:cs="Calibri"/>
                <w:color w:val="000000"/>
                <w:lang w:eastAsia="fi-FI"/>
              </w:rPr>
              <w:t>snt/kWh</w:t>
            </w:r>
          </w:p>
        </w:tc>
        <w:tc>
          <w:tcPr>
            <w:tcW w:w="960" w:type="dxa"/>
            <w:tcBorders>
              <w:top w:val="nil"/>
              <w:left w:val="nil"/>
              <w:bottom w:val="single" w:sz="4" w:space="0" w:color="auto"/>
              <w:right w:val="nil"/>
            </w:tcBorders>
            <w:noWrap/>
            <w:vAlign w:val="bottom"/>
          </w:tcPr>
          <w:p w14:paraId="31457AE1"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0,263</w:t>
            </w:r>
          </w:p>
        </w:tc>
        <w:tc>
          <w:tcPr>
            <w:tcW w:w="960" w:type="dxa"/>
            <w:tcBorders>
              <w:top w:val="nil"/>
              <w:left w:val="nil"/>
              <w:bottom w:val="single" w:sz="4" w:space="0" w:color="auto"/>
              <w:right w:val="nil"/>
            </w:tcBorders>
            <w:noWrap/>
            <w:vAlign w:val="bottom"/>
          </w:tcPr>
          <w:p w14:paraId="5187DEA2"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0,703</w:t>
            </w:r>
          </w:p>
        </w:tc>
        <w:tc>
          <w:tcPr>
            <w:tcW w:w="960" w:type="dxa"/>
            <w:tcBorders>
              <w:top w:val="nil"/>
              <w:left w:val="nil"/>
              <w:bottom w:val="single" w:sz="4" w:space="0" w:color="auto"/>
              <w:right w:val="nil"/>
            </w:tcBorders>
            <w:noWrap/>
            <w:vAlign w:val="bottom"/>
          </w:tcPr>
          <w:p w14:paraId="6474BEF9" w14:textId="77777777" w:rsidR="00B574B3" w:rsidRPr="00E917B1" w:rsidRDefault="00B574B3" w:rsidP="00E917B1">
            <w:pPr>
              <w:spacing w:after="0" w:line="240" w:lineRule="auto"/>
              <w:jc w:val="right"/>
              <w:rPr>
                <w:rFonts w:cs="Calibri"/>
                <w:color w:val="000000"/>
                <w:lang w:eastAsia="fi-FI"/>
              </w:rPr>
            </w:pPr>
            <w:r w:rsidRPr="00E917B1">
              <w:rPr>
                <w:rFonts w:cs="Calibri"/>
                <w:color w:val="000000"/>
                <w:lang w:eastAsia="fi-FI"/>
              </w:rPr>
              <w:t>0,703</w:t>
            </w:r>
          </w:p>
        </w:tc>
      </w:tr>
    </w:tbl>
    <w:p w14:paraId="40EFA01C" w14:textId="77777777" w:rsidR="00B574B3" w:rsidRDefault="00B574B3" w:rsidP="00E917B1">
      <w:pPr>
        <w:jc w:val="both"/>
        <w:rPr>
          <w:rFonts w:ascii="Times New Roman" w:hAnsi="Times New Roman"/>
          <w:sz w:val="24"/>
          <w:szCs w:val="24"/>
        </w:rPr>
      </w:pPr>
    </w:p>
    <w:p w14:paraId="43DE2052" w14:textId="77777777" w:rsidR="006F75B1" w:rsidRDefault="006F75B1" w:rsidP="00E917B1">
      <w:pPr>
        <w:jc w:val="both"/>
        <w:rPr>
          <w:rFonts w:ascii="Times New Roman" w:hAnsi="Times New Roman"/>
          <w:sz w:val="24"/>
          <w:szCs w:val="24"/>
        </w:rPr>
      </w:pPr>
    </w:p>
    <w:p w14:paraId="3B8AD4F0" w14:textId="77777777" w:rsidR="00B574B3" w:rsidRDefault="00B574B3" w:rsidP="00E917B1">
      <w:pPr>
        <w:jc w:val="both"/>
        <w:rPr>
          <w:rFonts w:ascii="Times New Roman" w:hAnsi="Times New Roman"/>
          <w:sz w:val="24"/>
          <w:szCs w:val="24"/>
        </w:rPr>
      </w:pPr>
      <w:r>
        <w:rPr>
          <w:rFonts w:ascii="Times New Roman" w:hAnsi="Times New Roman"/>
          <w:sz w:val="24"/>
          <w:szCs w:val="24"/>
        </w:rPr>
        <w:t>Vuonna 2012 voimassa olevat energiaverot säädettiin pääasiassa vuoden 2011 alusta. Vuoden 2012 alusta korotettiin bensiinin ja dieselöljyn veroja 5 prosentilla. Liikente</w:t>
      </w:r>
      <w:r w:rsidR="00A76CE2">
        <w:rPr>
          <w:rFonts w:ascii="Times New Roman" w:hAnsi="Times New Roman"/>
          <w:sz w:val="24"/>
          <w:szCs w:val="24"/>
        </w:rPr>
        <w:t xml:space="preserve">en polttoaineiden verot olivat </w:t>
      </w:r>
      <w:r>
        <w:rPr>
          <w:rFonts w:ascii="Times New Roman" w:hAnsi="Times New Roman"/>
          <w:sz w:val="24"/>
          <w:szCs w:val="24"/>
        </w:rPr>
        <w:t>vuonna 2011 vielä vuoden 2010 tasolla.</w:t>
      </w:r>
      <w:r w:rsidR="00A5410C">
        <w:rPr>
          <w:rFonts w:ascii="Times New Roman" w:hAnsi="Times New Roman"/>
          <w:sz w:val="24"/>
          <w:szCs w:val="24"/>
        </w:rPr>
        <w:t xml:space="preserve"> </w:t>
      </w:r>
    </w:p>
    <w:p w14:paraId="5817CB49" w14:textId="77777777" w:rsidR="00A87FD3" w:rsidRDefault="00A87FD3" w:rsidP="00E917B1">
      <w:pPr>
        <w:jc w:val="both"/>
        <w:rPr>
          <w:rFonts w:ascii="Times New Roman" w:hAnsi="Times New Roman"/>
          <w:sz w:val="24"/>
          <w:szCs w:val="24"/>
        </w:rPr>
      </w:pPr>
      <w:r>
        <w:rPr>
          <w:rFonts w:ascii="Times New Roman" w:hAnsi="Times New Roman"/>
          <w:sz w:val="24"/>
          <w:szCs w:val="24"/>
        </w:rPr>
        <w:t>Vuoden 2011 verotuksesta lähtien moottoribensiinin, dieselöljyn ja kevyen polttoöljyn verotuksessa polttoaineiden biopolttoainekomponentille sovelletaan alempaa verotasoa kuin mineraalisen polttoaineen osuudelle. Taulukossa 1 näiden polttoaineiden verotasot on esitetty keskimääräisinä tasoina, kun biopolttoaineiden osuudet on oletettu vuoden 2011 mukaisiksi</w:t>
      </w:r>
      <w:r w:rsidR="00340D05">
        <w:rPr>
          <w:rFonts w:ascii="Times New Roman" w:hAnsi="Times New Roman"/>
          <w:sz w:val="24"/>
          <w:szCs w:val="24"/>
        </w:rPr>
        <w:t>, moottoribensiinillä 10 %, dieselöljyllä 4,3 % ja kevyellä polttoöljyllä 2,0 %.</w:t>
      </w:r>
    </w:p>
    <w:p w14:paraId="23DE9007" w14:textId="77777777" w:rsidR="00B574B3" w:rsidRDefault="00B574B3" w:rsidP="00E917B1">
      <w:pPr>
        <w:jc w:val="both"/>
        <w:rPr>
          <w:rFonts w:ascii="Times New Roman" w:hAnsi="Times New Roman"/>
          <w:sz w:val="24"/>
          <w:szCs w:val="24"/>
        </w:rPr>
      </w:pPr>
      <w:r>
        <w:rPr>
          <w:rFonts w:ascii="Times New Roman" w:hAnsi="Times New Roman"/>
          <w:sz w:val="24"/>
          <w:szCs w:val="24"/>
        </w:rPr>
        <w:t>Dieselöljyn veronkorotuksen yhteydessä dieselautojen käyttövoimaveroa laskettiin ja alennus mitoitettiin niin, että keskimääräisellä kulutustasolla käyttövoimaveron alennus suurin piirtein kompensoisi dieselöljyn veronkorotuksen kustannusvaikutuksen. Kompensoinnista huolimatta kustannusvaikutukseksi jäi kuitenkin</w:t>
      </w:r>
      <w:r w:rsidR="00C2086E">
        <w:rPr>
          <w:rFonts w:ascii="Times New Roman" w:hAnsi="Times New Roman"/>
          <w:sz w:val="24"/>
          <w:szCs w:val="24"/>
        </w:rPr>
        <w:t xml:space="preserve"> 2,65 s</w:t>
      </w:r>
      <w:r>
        <w:rPr>
          <w:rFonts w:ascii="Times New Roman" w:hAnsi="Times New Roman"/>
          <w:sz w:val="24"/>
          <w:szCs w:val="24"/>
        </w:rPr>
        <w:t>nt/litra.  Vuoden 2014 alusta sekä bensiinin että diesel</w:t>
      </w:r>
      <w:r w:rsidR="00A76CE2">
        <w:rPr>
          <w:rFonts w:ascii="Times New Roman" w:hAnsi="Times New Roman"/>
          <w:sz w:val="24"/>
          <w:szCs w:val="24"/>
        </w:rPr>
        <w:t>-</w:t>
      </w:r>
      <w:r>
        <w:rPr>
          <w:rFonts w:ascii="Times New Roman" w:hAnsi="Times New Roman"/>
          <w:sz w:val="24"/>
          <w:szCs w:val="24"/>
        </w:rPr>
        <w:t xml:space="preserve">öljyn veroja korotetaan niin ikään 5 prosentilla. </w:t>
      </w:r>
    </w:p>
    <w:p w14:paraId="2C483496" w14:textId="77777777" w:rsidR="00B574B3" w:rsidRDefault="00B574B3" w:rsidP="006E6D5C">
      <w:pPr>
        <w:jc w:val="both"/>
        <w:rPr>
          <w:rFonts w:ascii="Times New Roman" w:hAnsi="Times New Roman"/>
          <w:sz w:val="24"/>
          <w:szCs w:val="24"/>
        </w:rPr>
      </w:pPr>
      <w:r w:rsidRPr="00E917B1">
        <w:rPr>
          <w:rFonts w:ascii="Times New Roman" w:hAnsi="Times New Roman"/>
          <w:sz w:val="24"/>
          <w:szCs w:val="24"/>
        </w:rPr>
        <w:t xml:space="preserve">Energiaverokustannuksia </w:t>
      </w:r>
      <w:r>
        <w:rPr>
          <w:rFonts w:ascii="Times New Roman" w:hAnsi="Times New Roman"/>
          <w:sz w:val="24"/>
          <w:szCs w:val="24"/>
        </w:rPr>
        <w:t xml:space="preserve">laskettaessa on otettava huomioon myös useat verotuksen ulkopuolelle jäävät kohteet, verotusmuutoksen yhteydessä tehdyt muut kompensoivat veromuutokset sekä veronpalautukset. </w:t>
      </w:r>
    </w:p>
    <w:p w14:paraId="69162260" w14:textId="77777777" w:rsidR="00D278D4" w:rsidRDefault="00B574B3" w:rsidP="00E917B1">
      <w:pPr>
        <w:jc w:val="both"/>
        <w:rPr>
          <w:rFonts w:ascii="Times New Roman" w:hAnsi="Times New Roman"/>
          <w:sz w:val="24"/>
          <w:szCs w:val="24"/>
        </w:rPr>
      </w:pPr>
      <w:r>
        <w:rPr>
          <w:rFonts w:ascii="Times New Roman" w:hAnsi="Times New Roman"/>
          <w:sz w:val="24"/>
          <w:szCs w:val="24"/>
        </w:rPr>
        <w:t>Sähköntuotannon polttoaineet samoin kuin rautateiden sähkö sekä ammattimaisen meri- ja ilmaliikenteen polttoaineet ovat verottomia, samoin teollisuuden energia ns. ensikäyttöprosesseissa on verotonta. Vaikka maatalouden sähkönkulutus kasvihuoneita lukuun ottamatta sisältyy vero</w:t>
      </w:r>
      <w:r w:rsidR="00340D05">
        <w:rPr>
          <w:rFonts w:ascii="Times New Roman" w:hAnsi="Times New Roman"/>
          <w:sz w:val="24"/>
          <w:szCs w:val="24"/>
        </w:rPr>
        <w:softHyphen/>
      </w:r>
      <w:r>
        <w:rPr>
          <w:rFonts w:ascii="Times New Roman" w:hAnsi="Times New Roman"/>
          <w:sz w:val="24"/>
          <w:szCs w:val="24"/>
        </w:rPr>
        <w:lastRenderedPageBreak/>
        <w:t xml:space="preserve">luokkaan I, maatalouden saamat sähköveronpalautukset </w:t>
      </w:r>
      <w:r w:rsidR="00340D05">
        <w:rPr>
          <w:rFonts w:ascii="Times New Roman" w:hAnsi="Times New Roman"/>
          <w:sz w:val="24"/>
          <w:szCs w:val="24"/>
        </w:rPr>
        <w:t xml:space="preserve">palauttavat </w:t>
      </w:r>
      <w:r>
        <w:rPr>
          <w:rFonts w:ascii="Times New Roman" w:hAnsi="Times New Roman"/>
          <w:sz w:val="24"/>
          <w:szCs w:val="24"/>
        </w:rPr>
        <w:t>sähköveron kustannus</w:t>
      </w:r>
      <w:r w:rsidR="00340D05">
        <w:rPr>
          <w:rFonts w:ascii="Times New Roman" w:hAnsi="Times New Roman"/>
          <w:sz w:val="24"/>
          <w:szCs w:val="24"/>
        </w:rPr>
        <w:softHyphen/>
      </w:r>
      <w:r>
        <w:rPr>
          <w:rFonts w:ascii="Times New Roman" w:hAnsi="Times New Roman"/>
          <w:sz w:val="24"/>
          <w:szCs w:val="24"/>
        </w:rPr>
        <w:t xml:space="preserve">vaikutukset </w:t>
      </w:r>
      <w:r w:rsidR="00340D05">
        <w:rPr>
          <w:rFonts w:ascii="Times New Roman" w:hAnsi="Times New Roman"/>
          <w:sz w:val="24"/>
          <w:szCs w:val="24"/>
        </w:rPr>
        <w:t xml:space="preserve">käytännössä </w:t>
      </w:r>
      <w:r>
        <w:rPr>
          <w:rFonts w:ascii="Times New Roman" w:hAnsi="Times New Roman"/>
          <w:sz w:val="24"/>
          <w:szCs w:val="24"/>
        </w:rPr>
        <w:t xml:space="preserve">veroluokan II tasolle. </w:t>
      </w:r>
      <w:r w:rsidR="00A76CE2">
        <w:rPr>
          <w:rFonts w:ascii="Times New Roman" w:hAnsi="Times New Roman"/>
          <w:sz w:val="24"/>
          <w:szCs w:val="24"/>
        </w:rPr>
        <w:t>Energia-intensiiviset yritykset</w:t>
      </w:r>
      <w:r>
        <w:rPr>
          <w:rFonts w:ascii="Times New Roman" w:hAnsi="Times New Roman"/>
          <w:sz w:val="24"/>
          <w:szCs w:val="24"/>
        </w:rPr>
        <w:t xml:space="preserve"> saavat 85 %:n veronpalautuksen niiltä energiaverokustannusten osailta, jotka ylittävät 0,5 % yritysten jalostusarvosta. Palautusmäärää kasvatettiin vuoden 2012 alusta alkaen. Energiaverojen noustessa myös korvattava osa kohoaa. Sähkön ja lämmön yhteistuotantolaitoksissa lämmön tuotannolle kohdennettujen polttoaineiden verotuksessa hiilidioksidiveron osuus on puolitettu. </w:t>
      </w:r>
    </w:p>
    <w:p w14:paraId="1131AC72" w14:textId="77777777" w:rsidR="00B574B3" w:rsidRDefault="00B574B3" w:rsidP="00E917B1">
      <w:pPr>
        <w:jc w:val="both"/>
        <w:rPr>
          <w:rFonts w:ascii="Times New Roman" w:hAnsi="Times New Roman"/>
          <w:sz w:val="24"/>
          <w:szCs w:val="24"/>
        </w:rPr>
      </w:pPr>
      <w:r>
        <w:rPr>
          <w:rFonts w:ascii="Times New Roman" w:hAnsi="Times New Roman"/>
          <w:sz w:val="24"/>
          <w:szCs w:val="24"/>
        </w:rPr>
        <w:t xml:space="preserve">Energiaverojen kustannusvaikutukset kertautuvat arvonlisäverotuksessa. Myös tämä kertautuminen on sisällytetty laskelmiin. </w:t>
      </w:r>
    </w:p>
    <w:p w14:paraId="39B156A6" w14:textId="77777777" w:rsidR="00D278D4" w:rsidRPr="00E917B1" w:rsidRDefault="00D278D4" w:rsidP="00E917B1">
      <w:pPr>
        <w:jc w:val="both"/>
        <w:rPr>
          <w:rFonts w:ascii="Times New Roman" w:hAnsi="Times New Roman"/>
          <w:sz w:val="24"/>
          <w:szCs w:val="24"/>
        </w:rPr>
      </w:pPr>
    </w:p>
    <w:p w14:paraId="6355F1D9" w14:textId="77777777" w:rsidR="00B574B3" w:rsidRPr="00D86401" w:rsidRDefault="00B574B3" w:rsidP="009D4E90">
      <w:pPr>
        <w:pStyle w:val="Otsikko1"/>
      </w:pPr>
      <w:bookmarkStart w:id="4" w:name="_Toc327190983"/>
      <w:r w:rsidRPr="00D86401">
        <w:t>Kotitalouksien tulot ja kulutus</w:t>
      </w:r>
      <w:bookmarkEnd w:id="4"/>
    </w:p>
    <w:p w14:paraId="732BFFF9" w14:textId="77777777" w:rsidR="00B574B3" w:rsidRPr="000544F9" w:rsidRDefault="00B574B3" w:rsidP="00C97F61">
      <w:pPr>
        <w:jc w:val="both"/>
        <w:rPr>
          <w:rFonts w:ascii="Times New Roman" w:hAnsi="Times New Roman"/>
          <w:sz w:val="24"/>
          <w:szCs w:val="24"/>
        </w:rPr>
      </w:pPr>
      <w:r w:rsidRPr="000544F9">
        <w:rPr>
          <w:rFonts w:ascii="Times New Roman" w:hAnsi="Times New Roman"/>
          <w:sz w:val="24"/>
          <w:szCs w:val="24"/>
        </w:rPr>
        <w:t xml:space="preserve">Tilastokeskuksen vuoden 2006 kulutustutkimuksessa tiedot kotitalouksien kulutusmenoista ja tuloista on koottu ja käsitelty kotitalouskohtaisesti. Taustatiedoiksi on koottu myös tiedot kotitalouksien </w:t>
      </w:r>
      <w:r w:rsidR="00D278D4">
        <w:rPr>
          <w:rFonts w:ascii="Times New Roman" w:hAnsi="Times New Roman"/>
          <w:sz w:val="24"/>
          <w:szCs w:val="24"/>
        </w:rPr>
        <w:t>jäsenistä</w:t>
      </w:r>
      <w:r>
        <w:rPr>
          <w:rFonts w:ascii="Times New Roman" w:hAnsi="Times New Roman"/>
          <w:sz w:val="24"/>
          <w:szCs w:val="24"/>
        </w:rPr>
        <w:t xml:space="preserve">, </w:t>
      </w:r>
      <w:r w:rsidRPr="000544F9">
        <w:rPr>
          <w:rFonts w:ascii="Times New Roman" w:hAnsi="Times New Roman"/>
          <w:sz w:val="24"/>
          <w:szCs w:val="24"/>
        </w:rPr>
        <w:t xml:space="preserve">jolloin saadaan myös kotitalouksien henkilöluku ja ns. kulutusyksiköiden lukumäärä. Kotitalouden kulutusyksikköluku määritellään OECD:n </w:t>
      </w:r>
      <w:r>
        <w:rPr>
          <w:rFonts w:ascii="Times New Roman" w:hAnsi="Times New Roman"/>
          <w:sz w:val="24"/>
          <w:szCs w:val="24"/>
        </w:rPr>
        <w:t xml:space="preserve">määrittelemän standardin </w:t>
      </w:r>
      <w:r w:rsidRPr="000544F9">
        <w:rPr>
          <w:rFonts w:ascii="Times New Roman" w:hAnsi="Times New Roman"/>
          <w:sz w:val="24"/>
          <w:szCs w:val="24"/>
        </w:rPr>
        <w:t xml:space="preserve">mukaisesti siten, että ensimmäinen aikuinen saa </w:t>
      </w:r>
      <w:r>
        <w:rPr>
          <w:rFonts w:ascii="Times New Roman" w:hAnsi="Times New Roman"/>
          <w:sz w:val="24"/>
          <w:szCs w:val="24"/>
        </w:rPr>
        <w:t>kulutus</w:t>
      </w:r>
      <w:r w:rsidRPr="000544F9">
        <w:rPr>
          <w:rFonts w:ascii="Times New Roman" w:hAnsi="Times New Roman"/>
          <w:sz w:val="24"/>
          <w:szCs w:val="24"/>
        </w:rPr>
        <w:t xml:space="preserve">painon 1, seuraavat yli 13-vuotiaat saavat painon 0,5 ja 0 - 13-vuotiaat lapset saavat painon 0,3.  Kotitalouksien toimeentulovertailussa kulutusyksikköluku </w:t>
      </w:r>
      <w:r>
        <w:rPr>
          <w:rFonts w:ascii="Times New Roman" w:hAnsi="Times New Roman"/>
          <w:sz w:val="24"/>
          <w:szCs w:val="24"/>
        </w:rPr>
        <w:t>helpottaa vertailu erityyppisten kotitalouksien välillä ja ottaa huomioon skaalaedut kulutuksessa</w:t>
      </w:r>
      <w:r w:rsidRPr="000544F9">
        <w:rPr>
          <w:rFonts w:ascii="Times New Roman" w:hAnsi="Times New Roman"/>
          <w:sz w:val="24"/>
          <w:szCs w:val="24"/>
        </w:rPr>
        <w:t xml:space="preserve">, jotka johtuvat siitä, että useamman henkilön talouksissa samoja tuotteita voi käyttää useampi henkilö ja että lasten kulutustarpeet ovat pienemmät kuin aikuisten. </w:t>
      </w:r>
    </w:p>
    <w:p w14:paraId="7A07F41B" w14:textId="77777777" w:rsidR="00B574B3" w:rsidRPr="000544F9" w:rsidRDefault="00B574B3" w:rsidP="00C97F61">
      <w:pPr>
        <w:jc w:val="both"/>
        <w:rPr>
          <w:rFonts w:ascii="Times New Roman" w:hAnsi="Times New Roman"/>
          <w:sz w:val="24"/>
          <w:szCs w:val="24"/>
        </w:rPr>
      </w:pPr>
      <w:r w:rsidRPr="000544F9">
        <w:rPr>
          <w:rFonts w:ascii="Times New Roman" w:hAnsi="Times New Roman"/>
          <w:sz w:val="24"/>
          <w:szCs w:val="24"/>
        </w:rPr>
        <w:t xml:space="preserve">Kotitalouksien ekvivalenttituloiksi kutsutaan kotitalouksien </w:t>
      </w:r>
      <w:r>
        <w:rPr>
          <w:rFonts w:ascii="Times New Roman" w:hAnsi="Times New Roman"/>
          <w:sz w:val="24"/>
          <w:szCs w:val="24"/>
        </w:rPr>
        <w:t xml:space="preserve">käytettävissä olevia </w:t>
      </w:r>
      <w:r w:rsidRPr="000544F9">
        <w:rPr>
          <w:rFonts w:ascii="Times New Roman" w:hAnsi="Times New Roman"/>
          <w:sz w:val="24"/>
          <w:szCs w:val="24"/>
        </w:rPr>
        <w:t>tuloja jaettuna kulutusyksik</w:t>
      </w:r>
      <w:r w:rsidR="00D278D4">
        <w:rPr>
          <w:rFonts w:ascii="Times New Roman" w:hAnsi="Times New Roman"/>
          <w:sz w:val="24"/>
          <w:szCs w:val="24"/>
        </w:rPr>
        <w:t>köpainojen sumalla</w:t>
      </w:r>
      <w:r>
        <w:rPr>
          <w:rFonts w:ascii="Times New Roman" w:hAnsi="Times New Roman"/>
          <w:sz w:val="24"/>
          <w:szCs w:val="24"/>
        </w:rPr>
        <w:t>,</w:t>
      </w:r>
      <w:r w:rsidRPr="000544F9">
        <w:rPr>
          <w:rFonts w:ascii="Times New Roman" w:hAnsi="Times New Roman"/>
          <w:sz w:val="24"/>
          <w:szCs w:val="24"/>
        </w:rPr>
        <w:t xml:space="preserve"> </w:t>
      </w:r>
      <w:r>
        <w:rPr>
          <w:rFonts w:ascii="Times New Roman" w:hAnsi="Times New Roman"/>
          <w:sz w:val="24"/>
          <w:szCs w:val="24"/>
        </w:rPr>
        <w:t>s</w:t>
      </w:r>
      <w:r w:rsidRPr="000544F9">
        <w:rPr>
          <w:rFonts w:ascii="Times New Roman" w:hAnsi="Times New Roman"/>
          <w:sz w:val="24"/>
          <w:szCs w:val="24"/>
        </w:rPr>
        <w:t>amoin voidaan puhua ekvivalenttikulutuksesta.</w:t>
      </w:r>
      <w:r>
        <w:rPr>
          <w:rFonts w:ascii="Times New Roman" w:hAnsi="Times New Roman"/>
          <w:sz w:val="24"/>
          <w:szCs w:val="24"/>
        </w:rPr>
        <w:t xml:space="preserve"> Kotitalouden jokaisen jäsenen ekvivalentti tulo on sama ja lasketaan em. tavalla.  </w:t>
      </w:r>
    </w:p>
    <w:p w14:paraId="1E2CAB5E" w14:textId="77777777" w:rsidR="00B574B3" w:rsidRDefault="00B574B3" w:rsidP="00C97F61">
      <w:pPr>
        <w:jc w:val="both"/>
        <w:rPr>
          <w:rFonts w:ascii="Times New Roman" w:hAnsi="Times New Roman"/>
          <w:sz w:val="24"/>
          <w:szCs w:val="24"/>
        </w:rPr>
      </w:pPr>
      <w:r>
        <w:rPr>
          <w:rFonts w:ascii="Times New Roman" w:hAnsi="Times New Roman"/>
          <w:sz w:val="24"/>
          <w:szCs w:val="24"/>
        </w:rPr>
        <w:t>Kulutustutkimuksen</w:t>
      </w:r>
      <w:r w:rsidRPr="000544F9">
        <w:rPr>
          <w:rFonts w:ascii="Times New Roman" w:hAnsi="Times New Roman"/>
          <w:sz w:val="24"/>
          <w:szCs w:val="24"/>
        </w:rPr>
        <w:t xml:space="preserve"> kotitaloudet </w:t>
      </w:r>
      <w:r>
        <w:rPr>
          <w:rFonts w:ascii="Times New Roman" w:hAnsi="Times New Roman"/>
          <w:sz w:val="24"/>
          <w:szCs w:val="24"/>
        </w:rPr>
        <w:t>voidaan jakaa</w:t>
      </w:r>
      <w:r w:rsidRPr="000544F9">
        <w:rPr>
          <w:rFonts w:ascii="Times New Roman" w:hAnsi="Times New Roman"/>
          <w:sz w:val="24"/>
          <w:szCs w:val="24"/>
        </w:rPr>
        <w:t xml:space="preserve"> tulojen suhteen desiiliryhmiin</w:t>
      </w:r>
      <w:r>
        <w:rPr>
          <w:rFonts w:ascii="Times New Roman" w:hAnsi="Times New Roman"/>
          <w:sz w:val="24"/>
          <w:szCs w:val="24"/>
        </w:rPr>
        <w:t>,</w:t>
      </w:r>
      <w:r w:rsidRPr="000544F9">
        <w:rPr>
          <w:rFonts w:ascii="Times New Roman" w:hAnsi="Times New Roman"/>
          <w:sz w:val="24"/>
          <w:szCs w:val="24"/>
        </w:rPr>
        <w:t xml:space="preserve"> jotka muodostetaan siten, että kotitaloudet järjestetään </w:t>
      </w:r>
      <w:r>
        <w:rPr>
          <w:rFonts w:ascii="Times New Roman" w:hAnsi="Times New Roman"/>
          <w:sz w:val="24"/>
          <w:szCs w:val="24"/>
        </w:rPr>
        <w:t xml:space="preserve">henkeä kohti laskettujen </w:t>
      </w:r>
      <w:r w:rsidRPr="000544F9">
        <w:rPr>
          <w:rFonts w:ascii="Times New Roman" w:hAnsi="Times New Roman"/>
          <w:sz w:val="24"/>
          <w:szCs w:val="24"/>
        </w:rPr>
        <w:t xml:space="preserve">tulojen suhteen nousevaan järjestykseen. Ensimmäiset 10 % jonosta muodostavat pienituloisimman eli 1. desiilin ja suurituloisin 10 % muodostaa 10. desiilin. </w:t>
      </w:r>
    </w:p>
    <w:p w14:paraId="32B6FCDB" w14:textId="77777777" w:rsidR="00B574B3" w:rsidRPr="000544F9" w:rsidRDefault="00B574B3" w:rsidP="00C97F61">
      <w:pPr>
        <w:jc w:val="both"/>
        <w:rPr>
          <w:rFonts w:ascii="Times New Roman" w:hAnsi="Times New Roman"/>
          <w:sz w:val="24"/>
          <w:szCs w:val="24"/>
        </w:rPr>
      </w:pPr>
      <w:r w:rsidRPr="000544F9">
        <w:rPr>
          <w:rFonts w:ascii="Times New Roman" w:hAnsi="Times New Roman"/>
          <w:sz w:val="24"/>
          <w:szCs w:val="24"/>
        </w:rPr>
        <w:t xml:space="preserve">Tässä selvityksessä on käytetty Tilastokeskuksen vuoden 2006 kulutustutkimuksen </w:t>
      </w:r>
      <w:r>
        <w:rPr>
          <w:rFonts w:ascii="Times New Roman" w:hAnsi="Times New Roman"/>
          <w:sz w:val="24"/>
          <w:szCs w:val="24"/>
        </w:rPr>
        <w:t xml:space="preserve">perusaineistoa. </w:t>
      </w:r>
      <w:r w:rsidRPr="000544F9">
        <w:rPr>
          <w:rFonts w:ascii="Times New Roman" w:hAnsi="Times New Roman"/>
          <w:sz w:val="24"/>
          <w:szCs w:val="24"/>
        </w:rPr>
        <w:t xml:space="preserve">Sekä kulutusmenot että tulot on kuitenkin deflatoitu kuluttajahintaindekseillä vuoden 2010 hintatasoon. </w:t>
      </w:r>
      <w:r>
        <w:rPr>
          <w:rFonts w:ascii="Times New Roman" w:hAnsi="Times New Roman"/>
          <w:sz w:val="24"/>
          <w:szCs w:val="24"/>
        </w:rPr>
        <w:t xml:space="preserve">  K</w:t>
      </w:r>
      <w:r w:rsidRPr="000544F9">
        <w:rPr>
          <w:rFonts w:ascii="Times New Roman" w:hAnsi="Times New Roman"/>
          <w:sz w:val="24"/>
          <w:szCs w:val="24"/>
        </w:rPr>
        <w:t>ulutusmenojen kokonais</w:t>
      </w:r>
      <w:r>
        <w:rPr>
          <w:rFonts w:ascii="Times New Roman" w:hAnsi="Times New Roman"/>
          <w:sz w:val="24"/>
          <w:szCs w:val="24"/>
        </w:rPr>
        <w:softHyphen/>
      </w:r>
      <w:r w:rsidRPr="000544F9">
        <w:rPr>
          <w:rFonts w:ascii="Times New Roman" w:hAnsi="Times New Roman"/>
          <w:sz w:val="24"/>
          <w:szCs w:val="24"/>
        </w:rPr>
        <w:t xml:space="preserve">indeksi kohosi 8,8 % vuodesta 2006 vuoteen 2010. </w:t>
      </w:r>
    </w:p>
    <w:p w14:paraId="310F30E1" w14:textId="77777777" w:rsidR="00B574B3" w:rsidRPr="000544F9" w:rsidRDefault="00B574B3" w:rsidP="00C97F61">
      <w:pPr>
        <w:jc w:val="both"/>
        <w:rPr>
          <w:rFonts w:ascii="Times New Roman" w:hAnsi="Times New Roman"/>
          <w:sz w:val="24"/>
          <w:szCs w:val="24"/>
        </w:rPr>
      </w:pPr>
      <w:r w:rsidRPr="000544F9">
        <w:rPr>
          <w:rFonts w:ascii="Times New Roman" w:hAnsi="Times New Roman"/>
          <w:sz w:val="24"/>
          <w:szCs w:val="24"/>
        </w:rPr>
        <w:t xml:space="preserve">Kuviossa 1 on esitetty Tilastokeskuksen </w:t>
      </w:r>
      <w:r>
        <w:rPr>
          <w:rFonts w:ascii="Times New Roman" w:hAnsi="Times New Roman"/>
          <w:sz w:val="24"/>
          <w:szCs w:val="24"/>
        </w:rPr>
        <w:t>k</w:t>
      </w:r>
      <w:r w:rsidRPr="000544F9">
        <w:rPr>
          <w:rFonts w:ascii="Times New Roman" w:hAnsi="Times New Roman"/>
          <w:sz w:val="24"/>
          <w:szCs w:val="24"/>
        </w:rPr>
        <w:t>ulutustutkimu</w:t>
      </w:r>
      <w:r>
        <w:rPr>
          <w:rFonts w:ascii="Times New Roman" w:hAnsi="Times New Roman"/>
          <w:sz w:val="24"/>
          <w:szCs w:val="24"/>
        </w:rPr>
        <w:t xml:space="preserve">saineistosta vuodelta </w:t>
      </w:r>
      <w:r w:rsidRPr="000544F9">
        <w:rPr>
          <w:rFonts w:ascii="Times New Roman" w:hAnsi="Times New Roman"/>
          <w:sz w:val="24"/>
          <w:szCs w:val="24"/>
        </w:rPr>
        <w:t>2006 kotit</w:t>
      </w:r>
      <w:r w:rsidR="000572C7">
        <w:rPr>
          <w:rFonts w:ascii="Times New Roman" w:hAnsi="Times New Roman"/>
          <w:sz w:val="24"/>
          <w:szCs w:val="24"/>
        </w:rPr>
        <w:t>alouksien ekvivalenttitulot ja -</w:t>
      </w:r>
      <w:r w:rsidRPr="000544F9">
        <w:rPr>
          <w:rFonts w:ascii="Times New Roman" w:hAnsi="Times New Roman"/>
          <w:sz w:val="24"/>
          <w:szCs w:val="24"/>
        </w:rPr>
        <w:t>kulutusmenot kotitalouksien tulodesiileittäin</w:t>
      </w:r>
      <w:r>
        <w:rPr>
          <w:rFonts w:ascii="Times New Roman" w:hAnsi="Times New Roman"/>
          <w:sz w:val="24"/>
          <w:szCs w:val="24"/>
        </w:rPr>
        <w:t xml:space="preserve"> vuoden 2010 hintatasoon defla</w:t>
      </w:r>
      <w:r w:rsidR="000572C7">
        <w:rPr>
          <w:rFonts w:ascii="Times New Roman" w:hAnsi="Times New Roman"/>
          <w:sz w:val="24"/>
          <w:szCs w:val="24"/>
        </w:rPr>
        <w:softHyphen/>
      </w:r>
      <w:r>
        <w:rPr>
          <w:rFonts w:ascii="Times New Roman" w:hAnsi="Times New Roman"/>
          <w:sz w:val="24"/>
          <w:szCs w:val="24"/>
        </w:rPr>
        <w:t>toituna</w:t>
      </w:r>
      <w:r w:rsidRPr="000544F9">
        <w:rPr>
          <w:rFonts w:ascii="Times New Roman" w:hAnsi="Times New Roman"/>
          <w:sz w:val="24"/>
          <w:szCs w:val="24"/>
        </w:rPr>
        <w:t xml:space="preserve">. Tulojen ja kulutuksen välillä on systemaattinen ero siirryttäessä alemmista tuloryhmistä ylempiin: </w:t>
      </w:r>
      <w:r>
        <w:rPr>
          <w:rFonts w:ascii="Times New Roman" w:hAnsi="Times New Roman"/>
          <w:sz w:val="24"/>
          <w:szCs w:val="24"/>
        </w:rPr>
        <w:t xml:space="preserve">kahdessa alimmassa </w:t>
      </w:r>
      <w:r w:rsidRPr="000544F9">
        <w:rPr>
          <w:rFonts w:ascii="Times New Roman" w:hAnsi="Times New Roman"/>
          <w:sz w:val="24"/>
          <w:szCs w:val="24"/>
        </w:rPr>
        <w:t>tuloryhm</w:t>
      </w:r>
      <w:r>
        <w:rPr>
          <w:rFonts w:ascii="Times New Roman" w:hAnsi="Times New Roman"/>
          <w:sz w:val="24"/>
          <w:szCs w:val="24"/>
        </w:rPr>
        <w:t>ä</w:t>
      </w:r>
      <w:r w:rsidRPr="000544F9">
        <w:rPr>
          <w:rFonts w:ascii="Times New Roman" w:hAnsi="Times New Roman"/>
          <w:sz w:val="24"/>
          <w:szCs w:val="24"/>
        </w:rPr>
        <w:t>ssä kulutusmenot ovat suuremmat kuin tulot</w:t>
      </w:r>
      <w:r>
        <w:rPr>
          <w:rFonts w:ascii="Times New Roman" w:hAnsi="Times New Roman"/>
          <w:sz w:val="24"/>
          <w:szCs w:val="24"/>
        </w:rPr>
        <w:t>, kolmanneksi alimmassa tulot ja menot ovat yhtä suuret,</w:t>
      </w:r>
      <w:r w:rsidRPr="000544F9">
        <w:rPr>
          <w:rFonts w:ascii="Times New Roman" w:hAnsi="Times New Roman"/>
          <w:sz w:val="24"/>
          <w:szCs w:val="24"/>
        </w:rPr>
        <w:t xml:space="preserve"> </w:t>
      </w:r>
      <w:r>
        <w:rPr>
          <w:rFonts w:ascii="Times New Roman" w:hAnsi="Times New Roman"/>
          <w:sz w:val="24"/>
          <w:szCs w:val="24"/>
        </w:rPr>
        <w:t>sitä vastoin ylemmissä tuloryhmissä kulutusmenot muodostavat sitä pienemmän osuuden tuloista, mitä ylempään tuloluokkaan kotitaloudet kuuluvat. Ylimmässä desiilissä kulutusmenot ovat noin 60 % tuloista.</w:t>
      </w:r>
    </w:p>
    <w:p w14:paraId="2ED300FB" w14:textId="77777777" w:rsidR="00B574B3" w:rsidRDefault="00B574B3">
      <w:r>
        <w:br w:type="page"/>
      </w:r>
    </w:p>
    <w:p w14:paraId="6FD95D78" w14:textId="77777777" w:rsidR="00B574B3" w:rsidRDefault="00C74D95" w:rsidP="00484298">
      <w:pPr>
        <w:ind w:left="1304"/>
      </w:pPr>
      <w:r>
        <w:rPr>
          <w:noProof/>
          <w:lang w:eastAsia="fi-FI"/>
        </w:rPr>
        <w:lastRenderedPageBreak/>
        <w:drawing>
          <wp:inline distT="0" distB="0" distL="0" distR="0" wp14:anchorId="4347083B" wp14:editId="171388A4">
            <wp:extent cx="4629785" cy="2760345"/>
            <wp:effectExtent l="0" t="0" r="0" b="0"/>
            <wp:docPr id="1" name="Kaavi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0E3BEF5" w14:textId="77777777" w:rsidR="00B574B3" w:rsidRPr="007A3370" w:rsidRDefault="00B574B3">
      <w:pPr>
        <w:rPr>
          <w:rFonts w:ascii="Times New Roman" w:hAnsi="Times New Roman"/>
          <w:i/>
          <w:sz w:val="24"/>
          <w:szCs w:val="24"/>
        </w:rPr>
      </w:pPr>
      <w:r w:rsidRPr="007A3370">
        <w:rPr>
          <w:rFonts w:ascii="Times New Roman" w:hAnsi="Times New Roman"/>
          <w:b/>
          <w:i/>
          <w:sz w:val="24"/>
          <w:szCs w:val="24"/>
        </w:rPr>
        <w:t>Kuvio 1.</w:t>
      </w:r>
      <w:r w:rsidRPr="007A3370">
        <w:rPr>
          <w:rFonts w:ascii="Times New Roman" w:hAnsi="Times New Roman"/>
          <w:i/>
          <w:sz w:val="24"/>
          <w:szCs w:val="24"/>
        </w:rPr>
        <w:t xml:space="preserve"> Kotitalouksien käytettävissä olevat ekvivalenttitulot ja -kulutusmenot desiiliryhmittäin Tilastokeskuksen Kulutustutkimus 2006 aineiston mukaan, arvot muunnettu vuoden 2010 hintatasoon</w:t>
      </w:r>
    </w:p>
    <w:p w14:paraId="3C2161F2" w14:textId="77777777" w:rsidR="000572C7" w:rsidRDefault="00B574B3" w:rsidP="00C97F61">
      <w:pPr>
        <w:jc w:val="both"/>
        <w:rPr>
          <w:rFonts w:ascii="Times New Roman" w:hAnsi="Times New Roman"/>
          <w:sz w:val="24"/>
          <w:szCs w:val="24"/>
        </w:rPr>
      </w:pPr>
      <w:r>
        <w:rPr>
          <w:rFonts w:ascii="Times New Roman" w:hAnsi="Times New Roman"/>
          <w:sz w:val="24"/>
          <w:szCs w:val="24"/>
        </w:rPr>
        <w:t>Kotitalouksien suoriksi energiamenoiksi voidaan kutsua niiden energialajien kustannuksia, jotka kotitaloudet suoraan maksavat erillisellä laskulla. Niitä ovat sähkö, kotitalouksien liikenne</w:t>
      </w:r>
      <w:r>
        <w:rPr>
          <w:rFonts w:ascii="Times New Roman" w:hAnsi="Times New Roman"/>
          <w:sz w:val="24"/>
          <w:szCs w:val="24"/>
        </w:rPr>
        <w:softHyphen/>
        <w:t>välineiden, piha- ja harrastuskoneiden polttoaineet, sekä omakotitalojen lämmitys</w:t>
      </w:r>
      <w:r>
        <w:rPr>
          <w:rFonts w:ascii="Times New Roman" w:hAnsi="Times New Roman"/>
          <w:sz w:val="24"/>
          <w:szCs w:val="24"/>
        </w:rPr>
        <w:softHyphen/>
        <w:t xml:space="preserve">polttoaineet ja kaukolämpö. Sen sijaan vuokra-asuntojen ja osakehuoneistojen lämmitysenergia sähkölämmitystä lukuun ottamatta sisältyvät vuokriin ja hoitovastikkeisiin eivätkä siten näy kotitalouksille erillisinä energiamenoina. </w:t>
      </w:r>
      <w:r w:rsidR="00BB23C0">
        <w:rPr>
          <w:rFonts w:ascii="Times New Roman" w:hAnsi="Times New Roman"/>
          <w:sz w:val="24"/>
          <w:szCs w:val="24"/>
        </w:rPr>
        <w:t>Vuokra-asuntojen ja osakehuoneistojen lämmitysenergiaan sisältyvien energia</w:t>
      </w:r>
      <w:r w:rsidR="00347C2E">
        <w:rPr>
          <w:rFonts w:ascii="Times New Roman" w:hAnsi="Times New Roman"/>
          <w:sz w:val="24"/>
          <w:szCs w:val="24"/>
        </w:rPr>
        <w:softHyphen/>
      </w:r>
      <w:r w:rsidR="00BB23C0">
        <w:rPr>
          <w:rFonts w:ascii="Times New Roman" w:hAnsi="Times New Roman"/>
          <w:sz w:val="24"/>
          <w:szCs w:val="24"/>
        </w:rPr>
        <w:t xml:space="preserve">verojen tarkennettu laskentamenettely on esitetty tämä selvityksen liitteen Laskentamenetelmät lopussa. </w:t>
      </w:r>
    </w:p>
    <w:p w14:paraId="67B74972" w14:textId="77777777" w:rsidR="00B574B3" w:rsidRDefault="00C74D95" w:rsidP="00484298">
      <w:pPr>
        <w:ind w:left="1304"/>
        <w:rPr>
          <w:rFonts w:ascii="Times New Roman" w:hAnsi="Times New Roman"/>
          <w:sz w:val="24"/>
          <w:szCs w:val="24"/>
        </w:rPr>
      </w:pPr>
      <w:r>
        <w:rPr>
          <w:noProof/>
          <w:lang w:eastAsia="fi-FI"/>
        </w:rPr>
        <w:drawing>
          <wp:inline distT="0" distB="0" distL="0" distR="0" wp14:anchorId="636DC0CF" wp14:editId="048ABF1D">
            <wp:extent cx="5168265" cy="2488565"/>
            <wp:effectExtent l="0" t="0" r="0" b="0"/>
            <wp:docPr id="2" name="Kaavi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89791F" w14:textId="77777777" w:rsidR="00B574B3" w:rsidRDefault="00B574B3">
      <w:pPr>
        <w:rPr>
          <w:rFonts w:ascii="Times New Roman" w:hAnsi="Times New Roman"/>
          <w:i/>
          <w:sz w:val="24"/>
          <w:szCs w:val="24"/>
        </w:rPr>
      </w:pPr>
      <w:r w:rsidRPr="008F6575">
        <w:rPr>
          <w:rFonts w:ascii="Times New Roman" w:hAnsi="Times New Roman"/>
          <w:b/>
          <w:i/>
          <w:sz w:val="24"/>
          <w:szCs w:val="24"/>
        </w:rPr>
        <w:t>Kuvio 2.</w:t>
      </w:r>
      <w:r w:rsidRPr="008F6575">
        <w:rPr>
          <w:rFonts w:ascii="Times New Roman" w:hAnsi="Times New Roman"/>
          <w:i/>
          <w:sz w:val="24"/>
          <w:szCs w:val="24"/>
        </w:rPr>
        <w:t xml:space="preserve"> Suorien energiamenojen osuus kotitalouksien kulutusmenoista tulodesiileittäin, %</w:t>
      </w:r>
    </w:p>
    <w:p w14:paraId="1DF88AE2" w14:textId="77777777" w:rsidR="00B574B3" w:rsidRDefault="00B574B3">
      <w:pPr>
        <w:rPr>
          <w:rFonts w:ascii="Times New Roman" w:hAnsi="Times New Roman"/>
          <w:i/>
          <w:sz w:val="24"/>
          <w:szCs w:val="24"/>
        </w:rPr>
      </w:pPr>
    </w:p>
    <w:p w14:paraId="62F4B3E0" w14:textId="77777777" w:rsidR="005B5215" w:rsidRPr="00C2086E" w:rsidRDefault="005B5215">
      <w:pPr>
        <w:rPr>
          <w:rFonts w:ascii="Times New Roman" w:hAnsi="Times New Roman"/>
          <w:sz w:val="24"/>
          <w:szCs w:val="24"/>
        </w:rPr>
      </w:pPr>
    </w:p>
    <w:p w14:paraId="60A585EB" w14:textId="77777777" w:rsidR="005F1FC6" w:rsidRPr="00D86401" w:rsidRDefault="005F1FC6" w:rsidP="005F1FC6">
      <w:pPr>
        <w:pStyle w:val="Otsikko1"/>
        <w:numPr>
          <w:ilvl w:val="0"/>
          <w:numId w:val="1"/>
        </w:numPr>
      </w:pPr>
      <w:bookmarkStart w:id="5" w:name="_Toc327190984"/>
      <w:r>
        <w:lastRenderedPageBreak/>
        <w:t>Energiaverojen kustannusvaikutukset tulodesiileittäin</w:t>
      </w:r>
      <w:bookmarkEnd w:id="5"/>
      <w:r>
        <w:t xml:space="preserve"> </w:t>
      </w:r>
    </w:p>
    <w:p w14:paraId="490F77A4" w14:textId="77777777" w:rsidR="00B574B3" w:rsidRDefault="00B574B3" w:rsidP="00EB4802">
      <w:pPr>
        <w:jc w:val="both"/>
        <w:rPr>
          <w:rFonts w:ascii="Times New Roman" w:hAnsi="Times New Roman"/>
          <w:sz w:val="24"/>
          <w:szCs w:val="24"/>
        </w:rPr>
      </w:pPr>
      <w:r>
        <w:rPr>
          <w:rFonts w:ascii="Times New Roman" w:hAnsi="Times New Roman"/>
          <w:sz w:val="24"/>
          <w:szCs w:val="24"/>
        </w:rPr>
        <w:t>Tässä selvityksessä energiaverojen kustannusvaikutukset kotitalouksien kulutusmenoihin laskettiin ENVIMAT mallilla</w:t>
      </w:r>
      <w:r w:rsidR="00876007">
        <w:rPr>
          <w:rFonts w:ascii="Times New Roman" w:hAnsi="Times New Roman"/>
          <w:sz w:val="24"/>
          <w:szCs w:val="24"/>
        </w:rPr>
        <w:t xml:space="preserve"> (Seppälä ym. 2009)</w:t>
      </w:r>
      <w:r>
        <w:rPr>
          <w:rFonts w:ascii="Times New Roman" w:hAnsi="Times New Roman"/>
          <w:sz w:val="24"/>
          <w:szCs w:val="24"/>
        </w:rPr>
        <w:t>. ENVIMAT malli on laaja, 150 toimialan panos-tuotosmalli, johon on liitetty myös toimialoittainen energiankulutus energialajeittain energia</w:t>
      </w:r>
      <w:r w:rsidR="004D7056">
        <w:rPr>
          <w:rFonts w:ascii="Times New Roman" w:hAnsi="Times New Roman"/>
          <w:sz w:val="24"/>
          <w:szCs w:val="24"/>
        </w:rPr>
        <w:t>-</w:t>
      </w:r>
      <w:r>
        <w:rPr>
          <w:rFonts w:ascii="Times New Roman" w:hAnsi="Times New Roman"/>
          <w:sz w:val="24"/>
          <w:szCs w:val="24"/>
        </w:rPr>
        <w:t>yksiköissä, gigawattitunneissa mitattuna. Energiankulutukseen liitettyjen energiaverokertoimien avulla voidaan laskea energiaverojen kustannukset kunkin toimialan tuotannossa ja panos-tuotosmallin avulla laskea edelleen, kuinka paljon energiaverokustannuksia kertyy kunkin lopputuotteen tuottamiseen koko tuotanto</w:t>
      </w:r>
      <w:r w:rsidR="003E20D6">
        <w:rPr>
          <w:rFonts w:ascii="Times New Roman" w:hAnsi="Times New Roman"/>
          <w:sz w:val="24"/>
          <w:szCs w:val="24"/>
        </w:rPr>
        <w:t>- ja jakelu</w:t>
      </w:r>
      <w:r>
        <w:rPr>
          <w:rFonts w:ascii="Times New Roman" w:hAnsi="Times New Roman"/>
          <w:sz w:val="24"/>
          <w:szCs w:val="24"/>
        </w:rPr>
        <w:t>ketjussa.  Näin saadaan kotitalouksien kulutus</w:t>
      </w:r>
      <w:r w:rsidR="004D7056">
        <w:rPr>
          <w:rFonts w:ascii="Times New Roman" w:hAnsi="Times New Roman"/>
          <w:sz w:val="24"/>
          <w:szCs w:val="24"/>
        </w:rPr>
        <w:t>-</w:t>
      </w:r>
      <w:r>
        <w:rPr>
          <w:rFonts w:ascii="Times New Roman" w:hAnsi="Times New Roman"/>
          <w:sz w:val="24"/>
          <w:szCs w:val="24"/>
        </w:rPr>
        <w:t xml:space="preserve">hyödykkeiden tuottamisen välilliset energiaverokustannukset kotitalouksien kulutusmenoille jaettuna 63 kulutushyödykeryhmään. </w:t>
      </w:r>
    </w:p>
    <w:p w14:paraId="716D9E4D" w14:textId="77777777" w:rsidR="002E2A43" w:rsidRDefault="00A76CE2" w:rsidP="00130CCC">
      <w:pPr>
        <w:jc w:val="both"/>
        <w:rPr>
          <w:rFonts w:ascii="Times New Roman" w:hAnsi="Times New Roman"/>
          <w:sz w:val="24"/>
          <w:szCs w:val="24"/>
        </w:rPr>
      </w:pPr>
      <w:r>
        <w:rPr>
          <w:rFonts w:ascii="Times New Roman" w:hAnsi="Times New Roman"/>
          <w:sz w:val="24"/>
          <w:szCs w:val="24"/>
        </w:rPr>
        <w:t xml:space="preserve">Taulukossa 2 </w:t>
      </w:r>
      <w:r w:rsidR="00B574B3">
        <w:rPr>
          <w:rFonts w:ascii="Times New Roman" w:hAnsi="Times New Roman"/>
          <w:sz w:val="24"/>
          <w:szCs w:val="24"/>
        </w:rPr>
        <w:t>ja kuviossa 3 on e</w:t>
      </w:r>
      <w:r w:rsidR="002E2A43">
        <w:rPr>
          <w:rFonts w:ascii="Times New Roman" w:hAnsi="Times New Roman"/>
          <w:sz w:val="24"/>
          <w:szCs w:val="24"/>
        </w:rPr>
        <w:t>sitetty kotitalouksien kulutukseen sisältyvien</w:t>
      </w:r>
      <w:r w:rsidR="00B574B3">
        <w:rPr>
          <w:rFonts w:ascii="Times New Roman" w:hAnsi="Times New Roman"/>
          <w:sz w:val="24"/>
          <w:szCs w:val="24"/>
        </w:rPr>
        <w:t xml:space="preserve"> energiaverojen osuudet </w:t>
      </w:r>
      <w:r>
        <w:rPr>
          <w:rFonts w:ascii="Times New Roman" w:hAnsi="Times New Roman"/>
          <w:sz w:val="24"/>
          <w:szCs w:val="24"/>
        </w:rPr>
        <w:t xml:space="preserve">kokonaiskulutusmenoista vuonna </w:t>
      </w:r>
      <w:r w:rsidR="003E20D6">
        <w:rPr>
          <w:rFonts w:ascii="Times New Roman" w:hAnsi="Times New Roman"/>
          <w:sz w:val="24"/>
          <w:szCs w:val="24"/>
        </w:rPr>
        <w:t xml:space="preserve">2010 </w:t>
      </w:r>
      <w:r w:rsidR="00B574B3">
        <w:rPr>
          <w:rFonts w:ascii="Times New Roman" w:hAnsi="Times New Roman"/>
          <w:sz w:val="24"/>
          <w:szCs w:val="24"/>
        </w:rPr>
        <w:t>sekä vuosien 2012 ja 2015 korotuksia vastaav</w:t>
      </w:r>
      <w:r>
        <w:rPr>
          <w:rFonts w:ascii="Times New Roman" w:hAnsi="Times New Roman"/>
          <w:sz w:val="24"/>
          <w:szCs w:val="24"/>
        </w:rPr>
        <w:t>at energia</w:t>
      </w:r>
      <w:r w:rsidR="003E20D6">
        <w:rPr>
          <w:rFonts w:ascii="Times New Roman" w:hAnsi="Times New Roman"/>
          <w:sz w:val="24"/>
          <w:szCs w:val="24"/>
        </w:rPr>
        <w:t>-</w:t>
      </w:r>
      <w:r>
        <w:rPr>
          <w:rFonts w:ascii="Times New Roman" w:hAnsi="Times New Roman"/>
          <w:sz w:val="24"/>
          <w:szCs w:val="24"/>
        </w:rPr>
        <w:t xml:space="preserve">verojen lisäykset </w:t>
      </w:r>
      <w:r w:rsidR="00B574B3">
        <w:rPr>
          <w:rFonts w:ascii="Times New Roman" w:hAnsi="Times New Roman"/>
          <w:sz w:val="24"/>
          <w:szCs w:val="24"/>
        </w:rPr>
        <w:t xml:space="preserve">prosentteina kulutusmenoista tulodesiileittäin. </w:t>
      </w:r>
      <w:r w:rsidR="002E2A43">
        <w:rPr>
          <w:rFonts w:ascii="Times New Roman" w:hAnsi="Times New Roman"/>
          <w:sz w:val="24"/>
          <w:szCs w:val="24"/>
        </w:rPr>
        <w:t xml:space="preserve"> Energiaverojen kustannus</w:t>
      </w:r>
      <w:r w:rsidR="00FF243B">
        <w:rPr>
          <w:rFonts w:ascii="Times New Roman" w:hAnsi="Times New Roman"/>
          <w:sz w:val="24"/>
          <w:szCs w:val="24"/>
        </w:rPr>
        <w:softHyphen/>
      </w:r>
      <w:r w:rsidR="002E2A43">
        <w:rPr>
          <w:rFonts w:ascii="Times New Roman" w:hAnsi="Times New Roman"/>
          <w:sz w:val="24"/>
          <w:szCs w:val="24"/>
        </w:rPr>
        <w:t>vaikutukset on lisäksi jaettu energiaveroihin yhteensä sekä suoriin energiaveroihin. Suorat energiaverot sisältävät kotitalouksien suoraan kuluttaman energian verot</w:t>
      </w:r>
      <w:r w:rsidR="00FF243B">
        <w:rPr>
          <w:rFonts w:ascii="Times New Roman" w:hAnsi="Times New Roman"/>
          <w:sz w:val="24"/>
          <w:szCs w:val="24"/>
        </w:rPr>
        <w:t>. Energiaverot yhteensä sisältävät lisäksi kulutushyödykkeiden tuottamiseen ja jakeluun välillisesti sisältyvät energiaverokustannukset. Asuntovuokriin ja hoitovastikkeisiin sisältyvät energiaverot on sisäl</w:t>
      </w:r>
      <w:r w:rsidR="00FF243B">
        <w:rPr>
          <w:rFonts w:ascii="Times New Roman" w:hAnsi="Times New Roman"/>
          <w:sz w:val="24"/>
          <w:szCs w:val="24"/>
        </w:rPr>
        <w:softHyphen/>
        <w:t>lytetty suoriin energiaveroihin.</w:t>
      </w:r>
    </w:p>
    <w:p w14:paraId="155ED401" w14:textId="77777777" w:rsidR="00B574B3" w:rsidRDefault="00B574B3" w:rsidP="00130CCC">
      <w:pPr>
        <w:jc w:val="both"/>
        <w:rPr>
          <w:rFonts w:ascii="Times New Roman" w:hAnsi="Times New Roman"/>
          <w:sz w:val="24"/>
          <w:szCs w:val="24"/>
        </w:rPr>
      </w:pPr>
      <w:r>
        <w:rPr>
          <w:rFonts w:ascii="Times New Roman" w:hAnsi="Times New Roman"/>
          <w:sz w:val="24"/>
          <w:szCs w:val="24"/>
        </w:rPr>
        <w:t>Taulukosta on havaittavissa, että energiave</w:t>
      </w:r>
      <w:r w:rsidR="00A76CE2">
        <w:rPr>
          <w:rFonts w:ascii="Times New Roman" w:hAnsi="Times New Roman"/>
          <w:sz w:val="24"/>
          <w:szCs w:val="24"/>
        </w:rPr>
        <w:t xml:space="preserve">rojen osuus kulutusmenoista on </w:t>
      </w:r>
      <w:r>
        <w:rPr>
          <w:rFonts w:ascii="Times New Roman" w:hAnsi="Times New Roman"/>
          <w:sz w:val="24"/>
          <w:szCs w:val="24"/>
        </w:rPr>
        <w:t>suurin keskimmäisissä tuloluokissa.  Sen sijaan vuosien 2012 ja 2015 v</w:t>
      </w:r>
      <w:r w:rsidR="00FF243B">
        <w:rPr>
          <w:rFonts w:ascii="Times New Roman" w:hAnsi="Times New Roman"/>
          <w:sz w:val="24"/>
          <w:szCs w:val="24"/>
        </w:rPr>
        <w:t>eronkorotusten kustannusvaikutukset kohdistuvat</w:t>
      </w:r>
      <w:r>
        <w:rPr>
          <w:rFonts w:ascii="Times New Roman" w:hAnsi="Times New Roman"/>
          <w:sz w:val="24"/>
          <w:szCs w:val="24"/>
        </w:rPr>
        <w:t xml:space="preserve"> enemmän alempiin tuloryhmiin. </w:t>
      </w:r>
    </w:p>
    <w:p w14:paraId="71F7F0B8" w14:textId="77777777" w:rsidR="00B574B3" w:rsidRPr="007A3370" w:rsidRDefault="00B574B3">
      <w:pPr>
        <w:rPr>
          <w:rFonts w:ascii="Times New Roman" w:hAnsi="Times New Roman"/>
          <w:i/>
          <w:sz w:val="24"/>
          <w:szCs w:val="24"/>
        </w:rPr>
      </w:pPr>
      <w:r w:rsidRPr="007A3370">
        <w:rPr>
          <w:rFonts w:ascii="Times New Roman" w:hAnsi="Times New Roman"/>
          <w:b/>
          <w:i/>
          <w:sz w:val="24"/>
          <w:szCs w:val="24"/>
        </w:rPr>
        <w:t>Taulukko 2.</w:t>
      </w:r>
      <w:r w:rsidRPr="007A3370">
        <w:rPr>
          <w:rFonts w:ascii="Times New Roman" w:hAnsi="Times New Roman"/>
          <w:i/>
          <w:sz w:val="24"/>
          <w:szCs w:val="24"/>
        </w:rPr>
        <w:t xml:space="preserve">  Energiaverojen ja veronkorotusten kustannusvaikutus kulutusmenoihin tulodesiileittäin, </w:t>
      </w:r>
      <w:r w:rsidR="005E4BFC">
        <w:rPr>
          <w:rFonts w:ascii="Times New Roman" w:hAnsi="Times New Roman"/>
          <w:i/>
          <w:sz w:val="24"/>
          <w:szCs w:val="24"/>
        </w:rPr>
        <w:t xml:space="preserve">energiaverot yhteensä ja suoran energiankulutuksen verot, </w:t>
      </w:r>
      <w:r w:rsidRPr="007A3370">
        <w:rPr>
          <w:rFonts w:ascii="Times New Roman" w:hAnsi="Times New Roman"/>
          <w:i/>
          <w:sz w:val="24"/>
          <w:szCs w:val="24"/>
        </w:rPr>
        <w:t>%</w:t>
      </w:r>
    </w:p>
    <w:tbl>
      <w:tblPr>
        <w:tblW w:w="7750" w:type="dxa"/>
        <w:tblInd w:w="55" w:type="dxa"/>
        <w:tblCellMar>
          <w:left w:w="70" w:type="dxa"/>
          <w:right w:w="70" w:type="dxa"/>
        </w:tblCellMar>
        <w:tblLook w:val="04A0" w:firstRow="1" w:lastRow="0" w:firstColumn="1" w:lastColumn="0" w:noHBand="0" w:noVBand="1"/>
      </w:tblPr>
      <w:tblGrid>
        <w:gridCol w:w="1230"/>
        <w:gridCol w:w="633"/>
        <w:gridCol w:w="1248"/>
        <w:gridCol w:w="1259"/>
        <w:gridCol w:w="280"/>
        <w:gridCol w:w="625"/>
        <w:gridCol w:w="1232"/>
        <w:gridCol w:w="1243"/>
      </w:tblGrid>
      <w:tr w:rsidR="005C1DAC" w:rsidRPr="005C1DAC" w14:paraId="1122B5E1" w14:textId="77777777" w:rsidTr="005C1DAC">
        <w:trPr>
          <w:trHeight w:val="227"/>
        </w:trPr>
        <w:tc>
          <w:tcPr>
            <w:tcW w:w="1230" w:type="dxa"/>
            <w:tcBorders>
              <w:top w:val="single" w:sz="4" w:space="0" w:color="auto"/>
              <w:left w:val="nil"/>
              <w:bottom w:val="nil"/>
              <w:right w:val="nil"/>
            </w:tcBorders>
            <w:shd w:val="clear" w:color="auto" w:fill="auto"/>
            <w:noWrap/>
            <w:vAlign w:val="bottom"/>
            <w:hideMark/>
          </w:tcPr>
          <w:p w14:paraId="4FDAB230"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 </w:t>
            </w:r>
          </w:p>
        </w:tc>
        <w:tc>
          <w:tcPr>
            <w:tcW w:w="3140" w:type="dxa"/>
            <w:gridSpan w:val="3"/>
            <w:tcBorders>
              <w:top w:val="single" w:sz="4" w:space="0" w:color="auto"/>
              <w:left w:val="nil"/>
              <w:bottom w:val="single" w:sz="4" w:space="0" w:color="auto"/>
              <w:right w:val="nil"/>
            </w:tcBorders>
            <w:shd w:val="clear" w:color="auto" w:fill="auto"/>
            <w:noWrap/>
            <w:vAlign w:val="bottom"/>
            <w:hideMark/>
          </w:tcPr>
          <w:p w14:paraId="13F2B24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Energiaverot yhteensä</w:t>
            </w:r>
          </w:p>
        </w:tc>
        <w:tc>
          <w:tcPr>
            <w:tcW w:w="280" w:type="dxa"/>
            <w:tcBorders>
              <w:top w:val="single" w:sz="4" w:space="0" w:color="auto"/>
              <w:left w:val="nil"/>
              <w:bottom w:val="nil"/>
              <w:right w:val="nil"/>
            </w:tcBorders>
            <w:shd w:val="clear" w:color="auto" w:fill="auto"/>
            <w:noWrap/>
            <w:vAlign w:val="bottom"/>
            <w:hideMark/>
          </w:tcPr>
          <w:p w14:paraId="60AE3BA3"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 </w:t>
            </w:r>
          </w:p>
        </w:tc>
        <w:tc>
          <w:tcPr>
            <w:tcW w:w="3100" w:type="dxa"/>
            <w:gridSpan w:val="3"/>
            <w:tcBorders>
              <w:top w:val="single" w:sz="4" w:space="0" w:color="auto"/>
              <w:left w:val="nil"/>
              <w:bottom w:val="single" w:sz="4" w:space="0" w:color="auto"/>
              <w:right w:val="nil"/>
            </w:tcBorders>
            <w:shd w:val="clear" w:color="auto" w:fill="auto"/>
            <w:noWrap/>
            <w:vAlign w:val="bottom"/>
            <w:hideMark/>
          </w:tcPr>
          <w:p w14:paraId="1732C0F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Suorat energiaverot</w:t>
            </w:r>
          </w:p>
        </w:tc>
      </w:tr>
      <w:tr w:rsidR="005C1DAC" w:rsidRPr="005C1DAC" w14:paraId="25B11074" w14:textId="77777777" w:rsidTr="005C1DAC">
        <w:trPr>
          <w:trHeight w:val="227"/>
        </w:trPr>
        <w:tc>
          <w:tcPr>
            <w:tcW w:w="1230" w:type="dxa"/>
            <w:tcBorders>
              <w:top w:val="nil"/>
              <w:left w:val="nil"/>
              <w:bottom w:val="nil"/>
              <w:right w:val="nil"/>
            </w:tcBorders>
            <w:shd w:val="clear" w:color="auto" w:fill="auto"/>
            <w:noWrap/>
            <w:vAlign w:val="bottom"/>
            <w:hideMark/>
          </w:tcPr>
          <w:p w14:paraId="7BA837E6" w14:textId="77777777" w:rsidR="005C1DAC" w:rsidRPr="005C1DAC" w:rsidRDefault="005C1DAC" w:rsidP="005C1DAC">
            <w:pPr>
              <w:spacing w:after="0" w:line="240" w:lineRule="auto"/>
              <w:rPr>
                <w:rFonts w:eastAsia="Times New Roman" w:cs="Calibri"/>
                <w:color w:val="000000"/>
                <w:lang w:eastAsia="fi-FI"/>
              </w:rPr>
            </w:pPr>
          </w:p>
        </w:tc>
        <w:tc>
          <w:tcPr>
            <w:tcW w:w="633" w:type="dxa"/>
            <w:tcBorders>
              <w:top w:val="nil"/>
              <w:left w:val="nil"/>
              <w:bottom w:val="nil"/>
              <w:right w:val="nil"/>
            </w:tcBorders>
            <w:shd w:val="clear" w:color="auto" w:fill="auto"/>
            <w:noWrap/>
            <w:vAlign w:val="bottom"/>
            <w:hideMark/>
          </w:tcPr>
          <w:p w14:paraId="7F75777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2010</w:t>
            </w:r>
          </w:p>
        </w:tc>
        <w:tc>
          <w:tcPr>
            <w:tcW w:w="1248" w:type="dxa"/>
            <w:tcBorders>
              <w:top w:val="nil"/>
              <w:left w:val="nil"/>
              <w:bottom w:val="nil"/>
              <w:right w:val="nil"/>
            </w:tcBorders>
            <w:shd w:val="clear" w:color="auto" w:fill="auto"/>
            <w:noWrap/>
            <w:vAlign w:val="bottom"/>
            <w:hideMark/>
          </w:tcPr>
          <w:p w14:paraId="5875662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2012</w:t>
            </w:r>
          </w:p>
        </w:tc>
        <w:tc>
          <w:tcPr>
            <w:tcW w:w="1259" w:type="dxa"/>
            <w:tcBorders>
              <w:top w:val="nil"/>
              <w:left w:val="nil"/>
              <w:bottom w:val="nil"/>
              <w:right w:val="nil"/>
            </w:tcBorders>
            <w:shd w:val="clear" w:color="auto" w:fill="auto"/>
            <w:noWrap/>
            <w:vAlign w:val="bottom"/>
            <w:hideMark/>
          </w:tcPr>
          <w:p w14:paraId="2ADCB020"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2015</w:t>
            </w:r>
          </w:p>
        </w:tc>
        <w:tc>
          <w:tcPr>
            <w:tcW w:w="280" w:type="dxa"/>
            <w:tcBorders>
              <w:top w:val="nil"/>
              <w:left w:val="nil"/>
              <w:bottom w:val="nil"/>
              <w:right w:val="nil"/>
            </w:tcBorders>
            <w:shd w:val="clear" w:color="auto" w:fill="auto"/>
            <w:noWrap/>
            <w:vAlign w:val="bottom"/>
            <w:hideMark/>
          </w:tcPr>
          <w:p w14:paraId="6F5D79D0"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7017179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2010</w:t>
            </w:r>
          </w:p>
        </w:tc>
        <w:tc>
          <w:tcPr>
            <w:tcW w:w="1232" w:type="dxa"/>
            <w:tcBorders>
              <w:top w:val="nil"/>
              <w:left w:val="nil"/>
              <w:bottom w:val="nil"/>
              <w:right w:val="nil"/>
            </w:tcBorders>
            <w:shd w:val="clear" w:color="auto" w:fill="auto"/>
            <w:noWrap/>
            <w:vAlign w:val="bottom"/>
            <w:hideMark/>
          </w:tcPr>
          <w:p w14:paraId="40F220BA"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2012</w:t>
            </w:r>
          </w:p>
        </w:tc>
        <w:tc>
          <w:tcPr>
            <w:tcW w:w="1243" w:type="dxa"/>
            <w:tcBorders>
              <w:top w:val="nil"/>
              <w:left w:val="nil"/>
              <w:bottom w:val="nil"/>
              <w:right w:val="nil"/>
            </w:tcBorders>
            <w:shd w:val="clear" w:color="auto" w:fill="auto"/>
            <w:noWrap/>
            <w:vAlign w:val="bottom"/>
            <w:hideMark/>
          </w:tcPr>
          <w:p w14:paraId="23DE640D"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2015</w:t>
            </w:r>
          </w:p>
        </w:tc>
      </w:tr>
      <w:tr w:rsidR="005C1DAC" w:rsidRPr="005C1DAC" w14:paraId="08D450FB" w14:textId="77777777" w:rsidTr="005C1DAC">
        <w:trPr>
          <w:trHeight w:val="227"/>
        </w:trPr>
        <w:tc>
          <w:tcPr>
            <w:tcW w:w="1230" w:type="dxa"/>
            <w:tcBorders>
              <w:top w:val="nil"/>
              <w:left w:val="nil"/>
              <w:bottom w:val="single" w:sz="4" w:space="0" w:color="auto"/>
              <w:right w:val="nil"/>
            </w:tcBorders>
            <w:shd w:val="clear" w:color="auto" w:fill="auto"/>
            <w:noWrap/>
            <w:vAlign w:val="bottom"/>
            <w:hideMark/>
          </w:tcPr>
          <w:p w14:paraId="14D101CB"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 </w:t>
            </w:r>
          </w:p>
        </w:tc>
        <w:tc>
          <w:tcPr>
            <w:tcW w:w="633" w:type="dxa"/>
            <w:tcBorders>
              <w:top w:val="nil"/>
              <w:left w:val="nil"/>
              <w:bottom w:val="single" w:sz="4" w:space="0" w:color="auto"/>
              <w:right w:val="nil"/>
            </w:tcBorders>
            <w:shd w:val="clear" w:color="auto" w:fill="auto"/>
            <w:noWrap/>
            <w:vAlign w:val="bottom"/>
            <w:hideMark/>
          </w:tcPr>
          <w:p w14:paraId="313E7F72"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verot</w:t>
            </w:r>
          </w:p>
        </w:tc>
        <w:tc>
          <w:tcPr>
            <w:tcW w:w="1248" w:type="dxa"/>
            <w:tcBorders>
              <w:top w:val="nil"/>
              <w:left w:val="nil"/>
              <w:bottom w:val="single" w:sz="4" w:space="0" w:color="auto"/>
              <w:right w:val="nil"/>
            </w:tcBorders>
            <w:shd w:val="clear" w:color="auto" w:fill="auto"/>
            <w:noWrap/>
            <w:vAlign w:val="bottom"/>
            <w:hideMark/>
          </w:tcPr>
          <w:p w14:paraId="45AC02D1"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korotukset</w:t>
            </w:r>
          </w:p>
        </w:tc>
        <w:tc>
          <w:tcPr>
            <w:tcW w:w="1259" w:type="dxa"/>
            <w:tcBorders>
              <w:top w:val="nil"/>
              <w:left w:val="nil"/>
              <w:bottom w:val="single" w:sz="4" w:space="0" w:color="auto"/>
              <w:right w:val="nil"/>
            </w:tcBorders>
            <w:shd w:val="clear" w:color="auto" w:fill="auto"/>
            <w:noWrap/>
            <w:vAlign w:val="bottom"/>
            <w:hideMark/>
          </w:tcPr>
          <w:p w14:paraId="72F4F3E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lisäkorotus</w:t>
            </w:r>
          </w:p>
        </w:tc>
        <w:tc>
          <w:tcPr>
            <w:tcW w:w="280" w:type="dxa"/>
            <w:tcBorders>
              <w:top w:val="nil"/>
              <w:left w:val="nil"/>
              <w:bottom w:val="single" w:sz="4" w:space="0" w:color="auto"/>
              <w:right w:val="nil"/>
            </w:tcBorders>
            <w:shd w:val="clear" w:color="auto" w:fill="auto"/>
            <w:noWrap/>
            <w:vAlign w:val="bottom"/>
            <w:hideMark/>
          </w:tcPr>
          <w:p w14:paraId="3A3EA96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 </w:t>
            </w:r>
          </w:p>
        </w:tc>
        <w:tc>
          <w:tcPr>
            <w:tcW w:w="625" w:type="dxa"/>
            <w:tcBorders>
              <w:top w:val="nil"/>
              <w:left w:val="nil"/>
              <w:bottom w:val="single" w:sz="4" w:space="0" w:color="auto"/>
              <w:right w:val="nil"/>
            </w:tcBorders>
            <w:shd w:val="clear" w:color="auto" w:fill="auto"/>
            <w:noWrap/>
            <w:vAlign w:val="bottom"/>
            <w:hideMark/>
          </w:tcPr>
          <w:p w14:paraId="10F6D52E"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verot</w:t>
            </w:r>
          </w:p>
        </w:tc>
        <w:tc>
          <w:tcPr>
            <w:tcW w:w="1232" w:type="dxa"/>
            <w:tcBorders>
              <w:top w:val="nil"/>
              <w:left w:val="nil"/>
              <w:bottom w:val="single" w:sz="4" w:space="0" w:color="auto"/>
              <w:right w:val="nil"/>
            </w:tcBorders>
            <w:shd w:val="clear" w:color="auto" w:fill="auto"/>
            <w:noWrap/>
            <w:vAlign w:val="bottom"/>
            <w:hideMark/>
          </w:tcPr>
          <w:p w14:paraId="685CEE9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korotukset</w:t>
            </w:r>
          </w:p>
        </w:tc>
        <w:tc>
          <w:tcPr>
            <w:tcW w:w="1243" w:type="dxa"/>
            <w:tcBorders>
              <w:top w:val="nil"/>
              <w:left w:val="nil"/>
              <w:bottom w:val="single" w:sz="4" w:space="0" w:color="auto"/>
              <w:right w:val="nil"/>
            </w:tcBorders>
            <w:shd w:val="clear" w:color="auto" w:fill="auto"/>
            <w:noWrap/>
            <w:vAlign w:val="bottom"/>
            <w:hideMark/>
          </w:tcPr>
          <w:p w14:paraId="503B2A5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lisäkorotus</w:t>
            </w:r>
          </w:p>
        </w:tc>
      </w:tr>
      <w:tr w:rsidR="005C1DAC" w:rsidRPr="005C1DAC" w14:paraId="692D5D8D" w14:textId="77777777" w:rsidTr="005C1DAC">
        <w:trPr>
          <w:trHeight w:val="227"/>
        </w:trPr>
        <w:tc>
          <w:tcPr>
            <w:tcW w:w="1230" w:type="dxa"/>
            <w:tcBorders>
              <w:top w:val="nil"/>
              <w:left w:val="nil"/>
              <w:bottom w:val="nil"/>
              <w:right w:val="nil"/>
            </w:tcBorders>
            <w:shd w:val="clear" w:color="auto" w:fill="auto"/>
            <w:noWrap/>
            <w:vAlign w:val="bottom"/>
            <w:hideMark/>
          </w:tcPr>
          <w:p w14:paraId="54336CF2"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Keskimäärin</w:t>
            </w:r>
          </w:p>
        </w:tc>
        <w:tc>
          <w:tcPr>
            <w:tcW w:w="633" w:type="dxa"/>
            <w:tcBorders>
              <w:top w:val="nil"/>
              <w:left w:val="nil"/>
              <w:bottom w:val="nil"/>
              <w:right w:val="nil"/>
            </w:tcBorders>
            <w:shd w:val="clear" w:color="auto" w:fill="auto"/>
            <w:noWrap/>
            <w:vAlign w:val="bottom"/>
            <w:hideMark/>
          </w:tcPr>
          <w:p w14:paraId="53E76FDB"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2,84</w:t>
            </w:r>
          </w:p>
        </w:tc>
        <w:tc>
          <w:tcPr>
            <w:tcW w:w="1248" w:type="dxa"/>
            <w:tcBorders>
              <w:top w:val="nil"/>
              <w:left w:val="nil"/>
              <w:bottom w:val="nil"/>
              <w:right w:val="nil"/>
            </w:tcBorders>
            <w:shd w:val="clear" w:color="auto" w:fill="auto"/>
            <w:noWrap/>
            <w:vAlign w:val="bottom"/>
            <w:hideMark/>
          </w:tcPr>
          <w:p w14:paraId="70BB0CA2"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0,66</w:t>
            </w:r>
          </w:p>
        </w:tc>
        <w:tc>
          <w:tcPr>
            <w:tcW w:w="1259" w:type="dxa"/>
            <w:tcBorders>
              <w:top w:val="nil"/>
              <w:left w:val="nil"/>
              <w:bottom w:val="nil"/>
              <w:right w:val="nil"/>
            </w:tcBorders>
            <w:shd w:val="clear" w:color="auto" w:fill="auto"/>
            <w:noWrap/>
            <w:vAlign w:val="bottom"/>
            <w:hideMark/>
          </w:tcPr>
          <w:p w14:paraId="52E0882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0,16</w:t>
            </w:r>
          </w:p>
        </w:tc>
        <w:tc>
          <w:tcPr>
            <w:tcW w:w="280" w:type="dxa"/>
            <w:tcBorders>
              <w:top w:val="nil"/>
              <w:left w:val="nil"/>
              <w:bottom w:val="nil"/>
              <w:right w:val="nil"/>
            </w:tcBorders>
            <w:shd w:val="clear" w:color="auto" w:fill="auto"/>
            <w:noWrap/>
            <w:vAlign w:val="bottom"/>
            <w:hideMark/>
          </w:tcPr>
          <w:p w14:paraId="0AD43030"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09496A1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2,08</w:t>
            </w:r>
          </w:p>
        </w:tc>
        <w:tc>
          <w:tcPr>
            <w:tcW w:w="1232" w:type="dxa"/>
            <w:tcBorders>
              <w:top w:val="nil"/>
              <w:left w:val="nil"/>
              <w:bottom w:val="nil"/>
              <w:right w:val="nil"/>
            </w:tcBorders>
            <w:shd w:val="clear" w:color="auto" w:fill="auto"/>
            <w:noWrap/>
            <w:vAlign w:val="bottom"/>
            <w:hideMark/>
          </w:tcPr>
          <w:p w14:paraId="6078E21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0,42</w:t>
            </w:r>
          </w:p>
        </w:tc>
        <w:tc>
          <w:tcPr>
            <w:tcW w:w="1243" w:type="dxa"/>
            <w:tcBorders>
              <w:top w:val="nil"/>
              <w:left w:val="nil"/>
              <w:bottom w:val="nil"/>
              <w:right w:val="nil"/>
            </w:tcBorders>
            <w:shd w:val="clear" w:color="auto" w:fill="auto"/>
            <w:noWrap/>
            <w:vAlign w:val="bottom"/>
            <w:hideMark/>
          </w:tcPr>
          <w:p w14:paraId="188609A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0,10</w:t>
            </w:r>
          </w:p>
        </w:tc>
      </w:tr>
      <w:tr w:rsidR="005C1DAC" w:rsidRPr="005C1DAC" w14:paraId="3C04B2A7" w14:textId="77777777" w:rsidTr="005C1DAC">
        <w:trPr>
          <w:trHeight w:val="227"/>
        </w:trPr>
        <w:tc>
          <w:tcPr>
            <w:tcW w:w="1230" w:type="dxa"/>
            <w:tcBorders>
              <w:top w:val="nil"/>
              <w:left w:val="nil"/>
              <w:bottom w:val="nil"/>
              <w:right w:val="nil"/>
            </w:tcBorders>
            <w:shd w:val="clear" w:color="auto" w:fill="auto"/>
            <w:noWrap/>
            <w:vAlign w:val="bottom"/>
            <w:hideMark/>
          </w:tcPr>
          <w:p w14:paraId="0C6ADD2B"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1. desiili</w:t>
            </w:r>
          </w:p>
        </w:tc>
        <w:tc>
          <w:tcPr>
            <w:tcW w:w="633" w:type="dxa"/>
            <w:tcBorders>
              <w:top w:val="nil"/>
              <w:left w:val="nil"/>
              <w:bottom w:val="nil"/>
              <w:right w:val="nil"/>
            </w:tcBorders>
            <w:shd w:val="clear" w:color="auto" w:fill="auto"/>
            <w:noWrap/>
            <w:vAlign w:val="bottom"/>
            <w:hideMark/>
          </w:tcPr>
          <w:p w14:paraId="7AB3602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2,60</w:t>
            </w:r>
          </w:p>
        </w:tc>
        <w:tc>
          <w:tcPr>
            <w:tcW w:w="1248" w:type="dxa"/>
            <w:tcBorders>
              <w:top w:val="nil"/>
              <w:left w:val="nil"/>
              <w:bottom w:val="nil"/>
              <w:right w:val="nil"/>
            </w:tcBorders>
            <w:shd w:val="clear" w:color="auto" w:fill="auto"/>
            <w:noWrap/>
            <w:vAlign w:val="bottom"/>
            <w:hideMark/>
          </w:tcPr>
          <w:p w14:paraId="4E7CDEC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0,75</w:t>
            </w:r>
          </w:p>
        </w:tc>
        <w:tc>
          <w:tcPr>
            <w:tcW w:w="1259" w:type="dxa"/>
            <w:tcBorders>
              <w:top w:val="nil"/>
              <w:left w:val="nil"/>
              <w:bottom w:val="nil"/>
              <w:right w:val="nil"/>
            </w:tcBorders>
            <w:shd w:val="clear" w:color="auto" w:fill="auto"/>
            <w:noWrap/>
            <w:vAlign w:val="bottom"/>
            <w:hideMark/>
          </w:tcPr>
          <w:p w14:paraId="277C83D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0,19</w:t>
            </w:r>
          </w:p>
        </w:tc>
        <w:tc>
          <w:tcPr>
            <w:tcW w:w="280" w:type="dxa"/>
            <w:tcBorders>
              <w:top w:val="nil"/>
              <w:left w:val="nil"/>
              <w:bottom w:val="nil"/>
              <w:right w:val="nil"/>
            </w:tcBorders>
            <w:shd w:val="clear" w:color="auto" w:fill="auto"/>
            <w:noWrap/>
            <w:vAlign w:val="bottom"/>
            <w:hideMark/>
          </w:tcPr>
          <w:p w14:paraId="6EDAA45F"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54E0C57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1,82</w:t>
            </w:r>
          </w:p>
        </w:tc>
        <w:tc>
          <w:tcPr>
            <w:tcW w:w="1232" w:type="dxa"/>
            <w:tcBorders>
              <w:top w:val="nil"/>
              <w:left w:val="nil"/>
              <w:bottom w:val="nil"/>
              <w:right w:val="nil"/>
            </w:tcBorders>
            <w:shd w:val="clear" w:color="auto" w:fill="auto"/>
            <w:noWrap/>
            <w:vAlign w:val="bottom"/>
            <w:hideMark/>
          </w:tcPr>
          <w:p w14:paraId="4E04A1A0"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0,49</w:t>
            </w:r>
          </w:p>
        </w:tc>
        <w:tc>
          <w:tcPr>
            <w:tcW w:w="1243" w:type="dxa"/>
            <w:tcBorders>
              <w:top w:val="nil"/>
              <w:left w:val="nil"/>
              <w:bottom w:val="nil"/>
              <w:right w:val="nil"/>
            </w:tcBorders>
            <w:shd w:val="clear" w:color="auto" w:fill="auto"/>
            <w:noWrap/>
            <w:vAlign w:val="bottom"/>
            <w:hideMark/>
          </w:tcPr>
          <w:p w14:paraId="22B95BD5"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0,13</w:t>
            </w:r>
          </w:p>
        </w:tc>
      </w:tr>
      <w:tr w:rsidR="005C1DAC" w:rsidRPr="005C1DAC" w14:paraId="5A3D5F1C" w14:textId="77777777" w:rsidTr="005C1DAC">
        <w:trPr>
          <w:trHeight w:val="227"/>
        </w:trPr>
        <w:tc>
          <w:tcPr>
            <w:tcW w:w="1230" w:type="dxa"/>
            <w:tcBorders>
              <w:top w:val="nil"/>
              <w:left w:val="nil"/>
              <w:bottom w:val="nil"/>
              <w:right w:val="nil"/>
            </w:tcBorders>
            <w:shd w:val="clear" w:color="auto" w:fill="auto"/>
            <w:noWrap/>
            <w:vAlign w:val="bottom"/>
            <w:hideMark/>
          </w:tcPr>
          <w:p w14:paraId="1B4673F5"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2. desiili</w:t>
            </w:r>
          </w:p>
        </w:tc>
        <w:tc>
          <w:tcPr>
            <w:tcW w:w="633" w:type="dxa"/>
            <w:tcBorders>
              <w:top w:val="nil"/>
              <w:left w:val="nil"/>
              <w:bottom w:val="nil"/>
              <w:right w:val="nil"/>
            </w:tcBorders>
            <w:shd w:val="clear" w:color="auto" w:fill="auto"/>
            <w:noWrap/>
            <w:vAlign w:val="bottom"/>
            <w:hideMark/>
          </w:tcPr>
          <w:p w14:paraId="78DB35D3"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2,86</w:t>
            </w:r>
          </w:p>
        </w:tc>
        <w:tc>
          <w:tcPr>
            <w:tcW w:w="1248" w:type="dxa"/>
            <w:tcBorders>
              <w:top w:val="nil"/>
              <w:left w:val="nil"/>
              <w:bottom w:val="nil"/>
              <w:right w:val="nil"/>
            </w:tcBorders>
            <w:shd w:val="clear" w:color="auto" w:fill="auto"/>
            <w:noWrap/>
            <w:vAlign w:val="bottom"/>
            <w:hideMark/>
          </w:tcPr>
          <w:p w14:paraId="0CACC5D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0,74</w:t>
            </w:r>
          </w:p>
        </w:tc>
        <w:tc>
          <w:tcPr>
            <w:tcW w:w="1259" w:type="dxa"/>
            <w:tcBorders>
              <w:top w:val="nil"/>
              <w:left w:val="nil"/>
              <w:bottom w:val="nil"/>
              <w:right w:val="nil"/>
            </w:tcBorders>
            <w:shd w:val="clear" w:color="auto" w:fill="auto"/>
            <w:noWrap/>
            <w:vAlign w:val="bottom"/>
            <w:hideMark/>
          </w:tcPr>
          <w:p w14:paraId="5B2F331B"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0,18</w:t>
            </w:r>
          </w:p>
        </w:tc>
        <w:tc>
          <w:tcPr>
            <w:tcW w:w="280" w:type="dxa"/>
            <w:tcBorders>
              <w:top w:val="nil"/>
              <w:left w:val="nil"/>
              <w:bottom w:val="nil"/>
              <w:right w:val="nil"/>
            </w:tcBorders>
            <w:shd w:val="clear" w:color="auto" w:fill="auto"/>
            <w:noWrap/>
            <w:vAlign w:val="bottom"/>
            <w:hideMark/>
          </w:tcPr>
          <w:p w14:paraId="3CC876C3"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7180FC8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2,10</w:t>
            </w:r>
          </w:p>
        </w:tc>
        <w:tc>
          <w:tcPr>
            <w:tcW w:w="1232" w:type="dxa"/>
            <w:tcBorders>
              <w:top w:val="nil"/>
              <w:left w:val="nil"/>
              <w:bottom w:val="nil"/>
              <w:right w:val="nil"/>
            </w:tcBorders>
            <w:shd w:val="clear" w:color="auto" w:fill="auto"/>
            <w:noWrap/>
            <w:vAlign w:val="bottom"/>
            <w:hideMark/>
          </w:tcPr>
          <w:p w14:paraId="7C644072"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0,48</w:t>
            </w:r>
          </w:p>
        </w:tc>
        <w:tc>
          <w:tcPr>
            <w:tcW w:w="1243" w:type="dxa"/>
            <w:tcBorders>
              <w:top w:val="nil"/>
              <w:left w:val="nil"/>
              <w:bottom w:val="nil"/>
              <w:right w:val="nil"/>
            </w:tcBorders>
            <w:shd w:val="clear" w:color="auto" w:fill="auto"/>
            <w:noWrap/>
            <w:vAlign w:val="bottom"/>
            <w:hideMark/>
          </w:tcPr>
          <w:p w14:paraId="2D09563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0,12</w:t>
            </w:r>
          </w:p>
        </w:tc>
      </w:tr>
      <w:tr w:rsidR="005C1DAC" w:rsidRPr="005C1DAC" w14:paraId="1088B3C2" w14:textId="77777777" w:rsidTr="005C1DAC">
        <w:trPr>
          <w:trHeight w:val="227"/>
        </w:trPr>
        <w:tc>
          <w:tcPr>
            <w:tcW w:w="1230" w:type="dxa"/>
            <w:tcBorders>
              <w:top w:val="nil"/>
              <w:left w:val="nil"/>
              <w:bottom w:val="nil"/>
              <w:right w:val="nil"/>
            </w:tcBorders>
            <w:shd w:val="clear" w:color="auto" w:fill="auto"/>
            <w:noWrap/>
            <w:vAlign w:val="bottom"/>
            <w:hideMark/>
          </w:tcPr>
          <w:p w14:paraId="7F769AEC"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3. desiili</w:t>
            </w:r>
          </w:p>
        </w:tc>
        <w:tc>
          <w:tcPr>
            <w:tcW w:w="633" w:type="dxa"/>
            <w:tcBorders>
              <w:top w:val="nil"/>
              <w:left w:val="nil"/>
              <w:bottom w:val="nil"/>
              <w:right w:val="nil"/>
            </w:tcBorders>
            <w:shd w:val="clear" w:color="auto" w:fill="auto"/>
            <w:noWrap/>
            <w:vAlign w:val="bottom"/>
            <w:hideMark/>
          </w:tcPr>
          <w:p w14:paraId="0422433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3,01</w:t>
            </w:r>
          </w:p>
        </w:tc>
        <w:tc>
          <w:tcPr>
            <w:tcW w:w="1248" w:type="dxa"/>
            <w:tcBorders>
              <w:top w:val="nil"/>
              <w:left w:val="nil"/>
              <w:bottom w:val="nil"/>
              <w:right w:val="nil"/>
            </w:tcBorders>
            <w:shd w:val="clear" w:color="auto" w:fill="auto"/>
            <w:noWrap/>
            <w:vAlign w:val="bottom"/>
            <w:hideMark/>
          </w:tcPr>
          <w:p w14:paraId="3178D1E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0,71</w:t>
            </w:r>
          </w:p>
        </w:tc>
        <w:tc>
          <w:tcPr>
            <w:tcW w:w="1259" w:type="dxa"/>
            <w:tcBorders>
              <w:top w:val="nil"/>
              <w:left w:val="nil"/>
              <w:bottom w:val="nil"/>
              <w:right w:val="nil"/>
            </w:tcBorders>
            <w:shd w:val="clear" w:color="auto" w:fill="auto"/>
            <w:noWrap/>
            <w:vAlign w:val="bottom"/>
            <w:hideMark/>
          </w:tcPr>
          <w:p w14:paraId="031A0EC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0,18</w:t>
            </w:r>
          </w:p>
        </w:tc>
        <w:tc>
          <w:tcPr>
            <w:tcW w:w="280" w:type="dxa"/>
            <w:tcBorders>
              <w:top w:val="nil"/>
              <w:left w:val="nil"/>
              <w:bottom w:val="nil"/>
              <w:right w:val="nil"/>
            </w:tcBorders>
            <w:shd w:val="clear" w:color="auto" w:fill="auto"/>
            <w:noWrap/>
            <w:vAlign w:val="bottom"/>
            <w:hideMark/>
          </w:tcPr>
          <w:p w14:paraId="19B572B6"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60FE6D1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2,25</w:t>
            </w:r>
          </w:p>
        </w:tc>
        <w:tc>
          <w:tcPr>
            <w:tcW w:w="1232" w:type="dxa"/>
            <w:tcBorders>
              <w:top w:val="nil"/>
              <w:left w:val="nil"/>
              <w:bottom w:val="nil"/>
              <w:right w:val="nil"/>
            </w:tcBorders>
            <w:shd w:val="clear" w:color="auto" w:fill="auto"/>
            <w:noWrap/>
            <w:vAlign w:val="bottom"/>
            <w:hideMark/>
          </w:tcPr>
          <w:p w14:paraId="1BACB67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0,45</w:t>
            </w:r>
          </w:p>
        </w:tc>
        <w:tc>
          <w:tcPr>
            <w:tcW w:w="1243" w:type="dxa"/>
            <w:tcBorders>
              <w:top w:val="nil"/>
              <w:left w:val="nil"/>
              <w:bottom w:val="nil"/>
              <w:right w:val="nil"/>
            </w:tcBorders>
            <w:shd w:val="clear" w:color="auto" w:fill="auto"/>
            <w:noWrap/>
            <w:vAlign w:val="bottom"/>
            <w:hideMark/>
          </w:tcPr>
          <w:p w14:paraId="4BE0F7A1"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0,12</w:t>
            </w:r>
          </w:p>
        </w:tc>
      </w:tr>
      <w:tr w:rsidR="005C1DAC" w:rsidRPr="005C1DAC" w14:paraId="791CF8B4" w14:textId="77777777" w:rsidTr="005C1DAC">
        <w:trPr>
          <w:trHeight w:val="227"/>
        </w:trPr>
        <w:tc>
          <w:tcPr>
            <w:tcW w:w="1230" w:type="dxa"/>
            <w:tcBorders>
              <w:top w:val="nil"/>
              <w:left w:val="nil"/>
              <w:bottom w:val="nil"/>
              <w:right w:val="nil"/>
            </w:tcBorders>
            <w:shd w:val="clear" w:color="auto" w:fill="auto"/>
            <w:noWrap/>
            <w:vAlign w:val="bottom"/>
            <w:hideMark/>
          </w:tcPr>
          <w:p w14:paraId="6764CBE7"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4. desiili</w:t>
            </w:r>
          </w:p>
        </w:tc>
        <w:tc>
          <w:tcPr>
            <w:tcW w:w="633" w:type="dxa"/>
            <w:tcBorders>
              <w:top w:val="nil"/>
              <w:left w:val="nil"/>
              <w:bottom w:val="nil"/>
              <w:right w:val="nil"/>
            </w:tcBorders>
            <w:shd w:val="clear" w:color="auto" w:fill="auto"/>
            <w:noWrap/>
            <w:vAlign w:val="bottom"/>
            <w:hideMark/>
          </w:tcPr>
          <w:p w14:paraId="20EF4020"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2,97</w:t>
            </w:r>
          </w:p>
        </w:tc>
        <w:tc>
          <w:tcPr>
            <w:tcW w:w="1248" w:type="dxa"/>
            <w:tcBorders>
              <w:top w:val="nil"/>
              <w:left w:val="nil"/>
              <w:bottom w:val="nil"/>
              <w:right w:val="nil"/>
            </w:tcBorders>
            <w:shd w:val="clear" w:color="auto" w:fill="auto"/>
            <w:noWrap/>
            <w:vAlign w:val="bottom"/>
            <w:hideMark/>
          </w:tcPr>
          <w:p w14:paraId="157BD1F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0,71</w:t>
            </w:r>
          </w:p>
        </w:tc>
        <w:tc>
          <w:tcPr>
            <w:tcW w:w="1259" w:type="dxa"/>
            <w:tcBorders>
              <w:top w:val="nil"/>
              <w:left w:val="nil"/>
              <w:bottom w:val="nil"/>
              <w:right w:val="nil"/>
            </w:tcBorders>
            <w:shd w:val="clear" w:color="auto" w:fill="auto"/>
            <w:noWrap/>
            <w:vAlign w:val="bottom"/>
            <w:hideMark/>
          </w:tcPr>
          <w:p w14:paraId="4A33798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0,17</w:t>
            </w:r>
          </w:p>
        </w:tc>
        <w:tc>
          <w:tcPr>
            <w:tcW w:w="280" w:type="dxa"/>
            <w:tcBorders>
              <w:top w:val="nil"/>
              <w:left w:val="nil"/>
              <w:bottom w:val="nil"/>
              <w:right w:val="nil"/>
            </w:tcBorders>
            <w:shd w:val="clear" w:color="auto" w:fill="auto"/>
            <w:noWrap/>
            <w:vAlign w:val="bottom"/>
            <w:hideMark/>
          </w:tcPr>
          <w:p w14:paraId="33CA06BC"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68713A3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2,23</w:t>
            </w:r>
          </w:p>
        </w:tc>
        <w:tc>
          <w:tcPr>
            <w:tcW w:w="1232" w:type="dxa"/>
            <w:tcBorders>
              <w:top w:val="nil"/>
              <w:left w:val="nil"/>
              <w:bottom w:val="nil"/>
              <w:right w:val="nil"/>
            </w:tcBorders>
            <w:shd w:val="clear" w:color="auto" w:fill="auto"/>
            <w:noWrap/>
            <w:vAlign w:val="bottom"/>
            <w:hideMark/>
          </w:tcPr>
          <w:p w14:paraId="5AD2C9E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0,46</w:t>
            </w:r>
          </w:p>
        </w:tc>
        <w:tc>
          <w:tcPr>
            <w:tcW w:w="1243" w:type="dxa"/>
            <w:tcBorders>
              <w:top w:val="nil"/>
              <w:left w:val="nil"/>
              <w:bottom w:val="nil"/>
              <w:right w:val="nil"/>
            </w:tcBorders>
            <w:shd w:val="clear" w:color="auto" w:fill="auto"/>
            <w:noWrap/>
            <w:vAlign w:val="bottom"/>
            <w:hideMark/>
          </w:tcPr>
          <w:p w14:paraId="6398D47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0,11</w:t>
            </w:r>
          </w:p>
        </w:tc>
      </w:tr>
      <w:tr w:rsidR="005C1DAC" w:rsidRPr="005C1DAC" w14:paraId="1677446A" w14:textId="77777777" w:rsidTr="005C1DAC">
        <w:trPr>
          <w:trHeight w:val="227"/>
        </w:trPr>
        <w:tc>
          <w:tcPr>
            <w:tcW w:w="1230" w:type="dxa"/>
            <w:tcBorders>
              <w:top w:val="nil"/>
              <w:left w:val="nil"/>
              <w:bottom w:val="nil"/>
              <w:right w:val="nil"/>
            </w:tcBorders>
            <w:shd w:val="clear" w:color="auto" w:fill="auto"/>
            <w:noWrap/>
            <w:vAlign w:val="bottom"/>
            <w:hideMark/>
          </w:tcPr>
          <w:p w14:paraId="677E1929"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5. desiili</w:t>
            </w:r>
          </w:p>
        </w:tc>
        <w:tc>
          <w:tcPr>
            <w:tcW w:w="633" w:type="dxa"/>
            <w:tcBorders>
              <w:top w:val="nil"/>
              <w:left w:val="nil"/>
              <w:bottom w:val="nil"/>
              <w:right w:val="nil"/>
            </w:tcBorders>
            <w:shd w:val="clear" w:color="auto" w:fill="auto"/>
            <w:noWrap/>
            <w:vAlign w:val="bottom"/>
            <w:hideMark/>
          </w:tcPr>
          <w:p w14:paraId="6B9818D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2,93</w:t>
            </w:r>
          </w:p>
        </w:tc>
        <w:tc>
          <w:tcPr>
            <w:tcW w:w="1248" w:type="dxa"/>
            <w:tcBorders>
              <w:top w:val="nil"/>
              <w:left w:val="nil"/>
              <w:bottom w:val="nil"/>
              <w:right w:val="nil"/>
            </w:tcBorders>
            <w:shd w:val="clear" w:color="auto" w:fill="auto"/>
            <w:noWrap/>
            <w:vAlign w:val="bottom"/>
            <w:hideMark/>
          </w:tcPr>
          <w:p w14:paraId="44FD5C2D"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0,68</w:t>
            </w:r>
          </w:p>
        </w:tc>
        <w:tc>
          <w:tcPr>
            <w:tcW w:w="1259" w:type="dxa"/>
            <w:tcBorders>
              <w:top w:val="nil"/>
              <w:left w:val="nil"/>
              <w:bottom w:val="nil"/>
              <w:right w:val="nil"/>
            </w:tcBorders>
            <w:shd w:val="clear" w:color="auto" w:fill="auto"/>
            <w:noWrap/>
            <w:vAlign w:val="bottom"/>
            <w:hideMark/>
          </w:tcPr>
          <w:p w14:paraId="46C5F833"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0,17</w:t>
            </w:r>
          </w:p>
        </w:tc>
        <w:tc>
          <w:tcPr>
            <w:tcW w:w="280" w:type="dxa"/>
            <w:tcBorders>
              <w:top w:val="nil"/>
              <w:left w:val="nil"/>
              <w:bottom w:val="nil"/>
              <w:right w:val="nil"/>
            </w:tcBorders>
            <w:shd w:val="clear" w:color="auto" w:fill="auto"/>
            <w:noWrap/>
            <w:vAlign w:val="bottom"/>
            <w:hideMark/>
          </w:tcPr>
          <w:p w14:paraId="33CF8BCD"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3C33180E"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2,18</w:t>
            </w:r>
          </w:p>
        </w:tc>
        <w:tc>
          <w:tcPr>
            <w:tcW w:w="1232" w:type="dxa"/>
            <w:tcBorders>
              <w:top w:val="nil"/>
              <w:left w:val="nil"/>
              <w:bottom w:val="nil"/>
              <w:right w:val="nil"/>
            </w:tcBorders>
            <w:shd w:val="clear" w:color="auto" w:fill="auto"/>
            <w:noWrap/>
            <w:vAlign w:val="bottom"/>
            <w:hideMark/>
          </w:tcPr>
          <w:p w14:paraId="0F2EB01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0,43</w:t>
            </w:r>
          </w:p>
        </w:tc>
        <w:tc>
          <w:tcPr>
            <w:tcW w:w="1243" w:type="dxa"/>
            <w:tcBorders>
              <w:top w:val="nil"/>
              <w:left w:val="nil"/>
              <w:bottom w:val="nil"/>
              <w:right w:val="nil"/>
            </w:tcBorders>
            <w:shd w:val="clear" w:color="auto" w:fill="auto"/>
            <w:noWrap/>
            <w:vAlign w:val="bottom"/>
            <w:hideMark/>
          </w:tcPr>
          <w:p w14:paraId="0D266ED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0,11</w:t>
            </w:r>
          </w:p>
        </w:tc>
      </w:tr>
      <w:tr w:rsidR="005C1DAC" w:rsidRPr="005C1DAC" w14:paraId="0BBC7980" w14:textId="77777777" w:rsidTr="005C1DAC">
        <w:trPr>
          <w:trHeight w:val="227"/>
        </w:trPr>
        <w:tc>
          <w:tcPr>
            <w:tcW w:w="1230" w:type="dxa"/>
            <w:tcBorders>
              <w:top w:val="nil"/>
              <w:left w:val="nil"/>
              <w:bottom w:val="nil"/>
              <w:right w:val="nil"/>
            </w:tcBorders>
            <w:shd w:val="clear" w:color="auto" w:fill="auto"/>
            <w:noWrap/>
            <w:vAlign w:val="bottom"/>
            <w:hideMark/>
          </w:tcPr>
          <w:p w14:paraId="78885838"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6. desiili</w:t>
            </w:r>
          </w:p>
        </w:tc>
        <w:tc>
          <w:tcPr>
            <w:tcW w:w="633" w:type="dxa"/>
            <w:tcBorders>
              <w:top w:val="nil"/>
              <w:left w:val="nil"/>
              <w:bottom w:val="nil"/>
              <w:right w:val="nil"/>
            </w:tcBorders>
            <w:shd w:val="clear" w:color="auto" w:fill="auto"/>
            <w:noWrap/>
            <w:vAlign w:val="bottom"/>
            <w:hideMark/>
          </w:tcPr>
          <w:p w14:paraId="21AD41A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2,97</w:t>
            </w:r>
          </w:p>
        </w:tc>
        <w:tc>
          <w:tcPr>
            <w:tcW w:w="1248" w:type="dxa"/>
            <w:tcBorders>
              <w:top w:val="nil"/>
              <w:left w:val="nil"/>
              <w:bottom w:val="nil"/>
              <w:right w:val="nil"/>
            </w:tcBorders>
            <w:shd w:val="clear" w:color="auto" w:fill="auto"/>
            <w:noWrap/>
            <w:vAlign w:val="bottom"/>
            <w:hideMark/>
          </w:tcPr>
          <w:p w14:paraId="0EBC46F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0,68</w:t>
            </w:r>
          </w:p>
        </w:tc>
        <w:tc>
          <w:tcPr>
            <w:tcW w:w="1259" w:type="dxa"/>
            <w:tcBorders>
              <w:top w:val="nil"/>
              <w:left w:val="nil"/>
              <w:bottom w:val="nil"/>
              <w:right w:val="nil"/>
            </w:tcBorders>
            <w:shd w:val="clear" w:color="auto" w:fill="auto"/>
            <w:noWrap/>
            <w:vAlign w:val="bottom"/>
            <w:hideMark/>
          </w:tcPr>
          <w:p w14:paraId="67FB140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0,16</w:t>
            </w:r>
          </w:p>
        </w:tc>
        <w:tc>
          <w:tcPr>
            <w:tcW w:w="280" w:type="dxa"/>
            <w:tcBorders>
              <w:top w:val="nil"/>
              <w:left w:val="nil"/>
              <w:bottom w:val="nil"/>
              <w:right w:val="nil"/>
            </w:tcBorders>
            <w:shd w:val="clear" w:color="auto" w:fill="auto"/>
            <w:noWrap/>
            <w:vAlign w:val="bottom"/>
            <w:hideMark/>
          </w:tcPr>
          <w:p w14:paraId="263CF18B"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0B0B2B8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2,21</w:t>
            </w:r>
          </w:p>
        </w:tc>
        <w:tc>
          <w:tcPr>
            <w:tcW w:w="1232" w:type="dxa"/>
            <w:tcBorders>
              <w:top w:val="nil"/>
              <w:left w:val="nil"/>
              <w:bottom w:val="nil"/>
              <w:right w:val="nil"/>
            </w:tcBorders>
            <w:shd w:val="clear" w:color="auto" w:fill="auto"/>
            <w:noWrap/>
            <w:vAlign w:val="bottom"/>
            <w:hideMark/>
          </w:tcPr>
          <w:p w14:paraId="46919F34"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0,43</w:t>
            </w:r>
          </w:p>
        </w:tc>
        <w:tc>
          <w:tcPr>
            <w:tcW w:w="1243" w:type="dxa"/>
            <w:tcBorders>
              <w:top w:val="nil"/>
              <w:left w:val="nil"/>
              <w:bottom w:val="nil"/>
              <w:right w:val="nil"/>
            </w:tcBorders>
            <w:shd w:val="clear" w:color="auto" w:fill="auto"/>
            <w:noWrap/>
            <w:vAlign w:val="bottom"/>
            <w:hideMark/>
          </w:tcPr>
          <w:p w14:paraId="5B955A7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0,10</w:t>
            </w:r>
          </w:p>
        </w:tc>
      </w:tr>
      <w:tr w:rsidR="005C1DAC" w:rsidRPr="005C1DAC" w14:paraId="67E8CD86" w14:textId="77777777" w:rsidTr="005C1DAC">
        <w:trPr>
          <w:trHeight w:val="227"/>
        </w:trPr>
        <w:tc>
          <w:tcPr>
            <w:tcW w:w="1230" w:type="dxa"/>
            <w:tcBorders>
              <w:top w:val="nil"/>
              <w:left w:val="nil"/>
              <w:bottom w:val="nil"/>
              <w:right w:val="nil"/>
            </w:tcBorders>
            <w:shd w:val="clear" w:color="auto" w:fill="auto"/>
            <w:noWrap/>
            <w:vAlign w:val="bottom"/>
            <w:hideMark/>
          </w:tcPr>
          <w:p w14:paraId="588DD70D"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7. desiili</w:t>
            </w:r>
          </w:p>
        </w:tc>
        <w:tc>
          <w:tcPr>
            <w:tcW w:w="633" w:type="dxa"/>
            <w:tcBorders>
              <w:top w:val="nil"/>
              <w:left w:val="nil"/>
              <w:bottom w:val="nil"/>
              <w:right w:val="nil"/>
            </w:tcBorders>
            <w:shd w:val="clear" w:color="auto" w:fill="auto"/>
            <w:noWrap/>
            <w:vAlign w:val="bottom"/>
            <w:hideMark/>
          </w:tcPr>
          <w:p w14:paraId="547FE65D"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2,93</w:t>
            </w:r>
          </w:p>
        </w:tc>
        <w:tc>
          <w:tcPr>
            <w:tcW w:w="1248" w:type="dxa"/>
            <w:tcBorders>
              <w:top w:val="nil"/>
              <w:left w:val="nil"/>
              <w:bottom w:val="nil"/>
              <w:right w:val="nil"/>
            </w:tcBorders>
            <w:shd w:val="clear" w:color="auto" w:fill="auto"/>
            <w:noWrap/>
            <w:vAlign w:val="bottom"/>
            <w:hideMark/>
          </w:tcPr>
          <w:p w14:paraId="49B5530E"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0,64</w:t>
            </w:r>
          </w:p>
        </w:tc>
        <w:tc>
          <w:tcPr>
            <w:tcW w:w="1259" w:type="dxa"/>
            <w:tcBorders>
              <w:top w:val="nil"/>
              <w:left w:val="nil"/>
              <w:bottom w:val="nil"/>
              <w:right w:val="nil"/>
            </w:tcBorders>
            <w:shd w:val="clear" w:color="auto" w:fill="auto"/>
            <w:noWrap/>
            <w:vAlign w:val="bottom"/>
            <w:hideMark/>
          </w:tcPr>
          <w:p w14:paraId="4C400EAF"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0,16</w:t>
            </w:r>
          </w:p>
        </w:tc>
        <w:tc>
          <w:tcPr>
            <w:tcW w:w="280" w:type="dxa"/>
            <w:tcBorders>
              <w:top w:val="nil"/>
              <w:left w:val="nil"/>
              <w:bottom w:val="nil"/>
              <w:right w:val="nil"/>
            </w:tcBorders>
            <w:shd w:val="clear" w:color="auto" w:fill="auto"/>
            <w:noWrap/>
            <w:vAlign w:val="bottom"/>
            <w:hideMark/>
          </w:tcPr>
          <w:p w14:paraId="50803E2B"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62DDD55B"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2,17</w:t>
            </w:r>
          </w:p>
        </w:tc>
        <w:tc>
          <w:tcPr>
            <w:tcW w:w="1232" w:type="dxa"/>
            <w:tcBorders>
              <w:top w:val="nil"/>
              <w:left w:val="nil"/>
              <w:bottom w:val="nil"/>
              <w:right w:val="nil"/>
            </w:tcBorders>
            <w:shd w:val="clear" w:color="auto" w:fill="auto"/>
            <w:noWrap/>
            <w:vAlign w:val="bottom"/>
            <w:hideMark/>
          </w:tcPr>
          <w:p w14:paraId="734EE6D0"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0,39</w:t>
            </w:r>
          </w:p>
        </w:tc>
        <w:tc>
          <w:tcPr>
            <w:tcW w:w="1243" w:type="dxa"/>
            <w:tcBorders>
              <w:top w:val="nil"/>
              <w:left w:val="nil"/>
              <w:bottom w:val="nil"/>
              <w:right w:val="nil"/>
            </w:tcBorders>
            <w:shd w:val="clear" w:color="auto" w:fill="auto"/>
            <w:noWrap/>
            <w:vAlign w:val="bottom"/>
            <w:hideMark/>
          </w:tcPr>
          <w:p w14:paraId="34F9A2D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0,10</w:t>
            </w:r>
          </w:p>
        </w:tc>
      </w:tr>
      <w:tr w:rsidR="005C1DAC" w:rsidRPr="005C1DAC" w14:paraId="59E1C831" w14:textId="77777777" w:rsidTr="005C1DAC">
        <w:trPr>
          <w:trHeight w:val="227"/>
        </w:trPr>
        <w:tc>
          <w:tcPr>
            <w:tcW w:w="1230" w:type="dxa"/>
            <w:tcBorders>
              <w:top w:val="nil"/>
              <w:left w:val="nil"/>
              <w:bottom w:val="nil"/>
              <w:right w:val="nil"/>
            </w:tcBorders>
            <w:shd w:val="clear" w:color="auto" w:fill="auto"/>
            <w:noWrap/>
            <w:vAlign w:val="bottom"/>
            <w:hideMark/>
          </w:tcPr>
          <w:p w14:paraId="69216917"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8. desiili</w:t>
            </w:r>
          </w:p>
        </w:tc>
        <w:tc>
          <w:tcPr>
            <w:tcW w:w="633" w:type="dxa"/>
            <w:tcBorders>
              <w:top w:val="nil"/>
              <w:left w:val="nil"/>
              <w:bottom w:val="nil"/>
              <w:right w:val="nil"/>
            </w:tcBorders>
            <w:shd w:val="clear" w:color="auto" w:fill="auto"/>
            <w:noWrap/>
            <w:vAlign w:val="bottom"/>
            <w:hideMark/>
          </w:tcPr>
          <w:p w14:paraId="41C98846"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2,92</w:t>
            </w:r>
          </w:p>
        </w:tc>
        <w:tc>
          <w:tcPr>
            <w:tcW w:w="1248" w:type="dxa"/>
            <w:tcBorders>
              <w:top w:val="nil"/>
              <w:left w:val="nil"/>
              <w:bottom w:val="nil"/>
              <w:right w:val="nil"/>
            </w:tcBorders>
            <w:shd w:val="clear" w:color="auto" w:fill="auto"/>
            <w:noWrap/>
            <w:vAlign w:val="bottom"/>
            <w:hideMark/>
          </w:tcPr>
          <w:p w14:paraId="6B7DB500"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0,63</w:t>
            </w:r>
          </w:p>
        </w:tc>
        <w:tc>
          <w:tcPr>
            <w:tcW w:w="1259" w:type="dxa"/>
            <w:tcBorders>
              <w:top w:val="nil"/>
              <w:left w:val="nil"/>
              <w:bottom w:val="nil"/>
              <w:right w:val="nil"/>
            </w:tcBorders>
            <w:shd w:val="clear" w:color="auto" w:fill="auto"/>
            <w:noWrap/>
            <w:vAlign w:val="bottom"/>
            <w:hideMark/>
          </w:tcPr>
          <w:p w14:paraId="5095BD75"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0,15</w:t>
            </w:r>
          </w:p>
        </w:tc>
        <w:tc>
          <w:tcPr>
            <w:tcW w:w="280" w:type="dxa"/>
            <w:tcBorders>
              <w:top w:val="nil"/>
              <w:left w:val="nil"/>
              <w:bottom w:val="nil"/>
              <w:right w:val="nil"/>
            </w:tcBorders>
            <w:shd w:val="clear" w:color="auto" w:fill="auto"/>
            <w:noWrap/>
            <w:vAlign w:val="bottom"/>
            <w:hideMark/>
          </w:tcPr>
          <w:p w14:paraId="1B92001B"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4B1AD40A"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2,16</w:t>
            </w:r>
          </w:p>
        </w:tc>
        <w:tc>
          <w:tcPr>
            <w:tcW w:w="1232" w:type="dxa"/>
            <w:tcBorders>
              <w:top w:val="nil"/>
              <w:left w:val="nil"/>
              <w:bottom w:val="nil"/>
              <w:right w:val="nil"/>
            </w:tcBorders>
            <w:shd w:val="clear" w:color="auto" w:fill="auto"/>
            <w:noWrap/>
            <w:vAlign w:val="bottom"/>
            <w:hideMark/>
          </w:tcPr>
          <w:p w14:paraId="5F45615E"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0,38</w:t>
            </w:r>
          </w:p>
        </w:tc>
        <w:tc>
          <w:tcPr>
            <w:tcW w:w="1243" w:type="dxa"/>
            <w:tcBorders>
              <w:top w:val="nil"/>
              <w:left w:val="nil"/>
              <w:bottom w:val="nil"/>
              <w:right w:val="nil"/>
            </w:tcBorders>
            <w:shd w:val="clear" w:color="auto" w:fill="auto"/>
            <w:noWrap/>
            <w:vAlign w:val="bottom"/>
            <w:hideMark/>
          </w:tcPr>
          <w:p w14:paraId="03B535E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0,09</w:t>
            </w:r>
          </w:p>
        </w:tc>
      </w:tr>
      <w:tr w:rsidR="005C1DAC" w:rsidRPr="005C1DAC" w14:paraId="19B7764E" w14:textId="77777777" w:rsidTr="005C1DAC">
        <w:trPr>
          <w:trHeight w:val="227"/>
        </w:trPr>
        <w:tc>
          <w:tcPr>
            <w:tcW w:w="1230" w:type="dxa"/>
            <w:tcBorders>
              <w:top w:val="nil"/>
              <w:left w:val="nil"/>
              <w:bottom w:val="nil"/>
              <w:right w:val="nil"/>
            </w:tcBorders>
            <w:shd w:val="clear" w:color="auto" w:fill="auto"/>
            <w:noWrap/>
            <w:vAlign w:val="bottom"/>
            <w:hideMark/>
          </w:tcPr>
          <w:p w14:paraId="45C9E182"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9. desiili</w:t>
            </w:r>
          </w:p>
        </w:tc>
        <w:tc>
          <w:tcPr>
            <w:tcW w:w="633" w:type="dxa"/>
            <w:tcBorders>
              <w:top w:val="nil"/>
              <w:left w:val="nil"/>
              <w:bottom w:val="nil"/>
              <w:right w:val="nil"/>
            </w:tcBorders>
            <w:shd w:val="clear" w:color="auto" w:fill="auto"/>
            <w:noWrap/>
            <w:vAlign w:val="bottom"/>
            <w:hideMark/>
          </w:tcPr>
          <w:p w14:paraId="6CDD0CAB"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2,69</w:t>
            </w:r>
          </w:p>
        </w:tc>
        <w:tc>
          <w:tcPr>
            <w:tcW w:w="1248" w:type="dxa"/>
            <w:tcBorders>
              <w:top w:val="nil"/>
              <w:left w:val="nil"/>
              <w:bottom w:val="nil"/>
              <w:right w:val="nil"/>
            </w:tcBorders>
            <w:shd w:val="clear" w:color="auto" w:fill="auto"/>
            <w:noWrap/>
            <w:vAlign w:val="bottom"/>
            <w:hideMark/>
          </w:tcPr>
          <w:p w14:paraId="773BF12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0,61</w:t>
            </w:r>
          </w:p>
        </w:tc>
        <w:tc>
          <w:tcPr>
            <w:tcW w:w="1259" w:type="dxa"/>
            <w:tcBorders>
              <w:top w:val="nil"/>
              <w:left w:val="nil"/>
              <w:bottom w:val="nil"/>
              <w:right w:val="nil"/>
            </w:tcBorders>
            <w:shd w:val="clear" w:color="auto" w:fill="auto"/>
            <w:noWrap/>
            <w:vAlign w:val="bottom"/>
            <w:hideMark/>
          </w:tcPr>
          <w:p w14:paraId="519F813E"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0,14</w:t>
            </w:r>
          </w:p>
        </w:tc>
        <w:tc>
          <w:tcPr>
            <w:tcW w:w="280" w:type="dxa"/>
            <w:tcBorders>
              <w:top w:val="nil"/>
              <w:left w:val="nil"/>
              <w:bottom w:val="nil"/>
              <w:right w:val="nil"/>
            </w:tcBorders>
            <w:shd w:val="clear" w:color="auto" w:fill="auto"/>
            <w:noWrap/>
            <w:vAlign w:val="bottom"/>
            <w:hideMark/>
          </w:tcPr>
          <w:p w14:paraId="6F2E0F26" w14:textId="77777777" w:rsidR="005C1DAC" w:rsidRPr="005C1DAC" w:rsidRDefault="005C1DAC" w:rsidP="005C1DAC">
            <w:pPr>
              <w:spacing w:after="0" w:line="240" w:lineRule="auto"/>
              <w:jc w:val="center"/>
              <w:rPr>
                <w:rFonts w:eastAsia="Times New Roman" w:cs="Calibri"/>
                <w:color w:val="000000"/>
                <w:lang w:eastAsia="fi-FI"/>
              </w:rPr>
            </w:pPr>
          </w:p>
        </w:tc>
        <w:tc>
          <w:tcPr>
            <w:tcW w:w="625" w:type="dxa"/>
            <w:tcBorders>
              <w:top w:val="nil"/>
              <w:left w:val="nil"/>
              <w:bottom w:val="nil"/>
              <w:right w:val="nil"/>
            </w:tcBorders>
            <w:shd w:val="clear" w:color="auto" w:fill="auto"/>
            <w:noWrap/>
            <w:vAlign w:val="bottom"/>
            <w:hideMark/>
          </w:tcPr>
          <w:p w14:paraId="550806A9"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1,94</w:t>
            </w:r>
          </w:p>
        </w:tc>
        <w:tc>
          <w:tcPr>
            <w:tcW w:w="1232" w:type="dxa"/>
            <w:tcBorders>
              <w:top w:val="nil"/>
              <w:left w:val="nil"/>
              <w:bottom w:val="nil"/>
              <w:right w:val="nil"/>
            </w:tcBorders>
            <w:shd w:val="clear" w:color="auto" w:fill="auto"/>
            <w:noWrap/>
            <w:vAlign w:val="bottom"/>
            <w:hideMark/>
          </w:tcPr>
          <w:p w14:paraId="2FF463ED"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0,37</w:t>
            </w:r>
          </w:p>
        </w:tc>
        <w:tc>
          <w:tcPr>
            <w:tcW w:w="1243" w:type="dxa"/>
            <w:tcBorders>
              <w:top w:val="nil"/>
              <w:left w:val="nil"/>
              <w:bottom w:val="nil"/>
              <w:right w:val="nil"/>
            </w:tcBorders>
            <w:shd w:val="clear" w:color="auto" w:fill="auto"/>
            <w:noWrap/>
            <w:vAlign w:val="bottom"/>
            <w:hideMark/>
          </w:tcPr>
          <w:p w14:paraId="4DAA4F7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0,09</w:t>
            </w:r>
          </w:p>
        </w:tc>
      </w:tr>
      <w:tr w:rsidR="005C1DAC" w:rsidRPr="005C1DAC" w14:paraId="2541F9B8" w14:textId="77777777" w:rsidTr="005C1DAC">
        <w:trPr>
          <w:trHeight w:val="227"/>
        </w:trPr>
        <w:tc>
          <w:tcPr>
            <w:tcW w:w="1230" w:type="dxa"/>
            <w:tcBorders>
              <w:top w:val="nil"/>
              <w:left w:val="nil"/>
              <w:bottom w:val="single" w:sz="4" w:space="0" w:color="auto"/>
              <w:right w:val="nil"/>
            </w:tcBorders>
            <w:shd w:val="clear" w:color="auto" w:fill="auto"/>
            <w:noWrap/>
            <w:vAlign w:val="bottom"/>
            <w:hideMark/>
          </w:tcPr>
          <w:p w14:paraId="2E423B4B" w14:textId="77777777" w:rsidR="005C1DAC" w:rsidRPr="005C1DAC" w:rsidRDefault="005C1DAC" w:rsidP="005C1DAC">
            <w:pPr>
              <w:spacing w:after="0" w:line="240" w:lineRule="auto"/>
              <w:rPr>
                <w:rFonts w:eastAsia="Times New Roman" w:cs="Calibri"/>
                <w:color w:val="000000"/>
                <w:lang w:eastAsia="fi-FI"/>
              </w:rPr>
            </w:pPr>
            <w:r w:rsidRPr="005C1DAC">
              <w:rPr>
                <w:rFonts w:eastAsia="Times New Roman" w:cs="Calibri"/>
                <w:color w:val="000000"/>
                <w:lang w:eastAsia="fi-FI"/>
              </w:rPr>
              <w:t>10. desiili</w:t>
            </w:r>
          </w:p>
        </w:tc>
        <w:tc>
          <w:tcPr>
            <w:tcW w:w="633" w:type="dxa"/>
            <w:tcBorders>
              <w:top w:val="nil"/>
              <w:left w:val="nil"/>
              <w:bottom w:val="single" w:sz="4" w:space="0" w:color="auto"/>
              <w:right w:val="nil"/>
            </w:tcBorders>
            <w:shd w:val="clear" w:color="auto" w:fill="auto"/>
            <w:noWrap/>
            <w:vAlign w:val="bottom"/>
            <w:hideMark/>
          </w:tcPr>
          <w:p w14:paraId="3DE9857C"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2,64</w:t>
            </w:r>
          </w:p>
        </w:tc>
        <w:tc>
          <w:tcPr>
            <w:tcW w:w="1248" w:type="dxa"/>
            <w:tcBorders>
              <w:top w:val="nil"/>
              <w:left w:val="nil"/>
              <w:bottom w:val="single" w:sz="4" w:space="0" w:color="auto"/>
              <w:right w:val="nil"/>
            </w:tcBorders>
            <w:shd w:val="clear" w:color="auto" w:fill="auto"/>
            <w:noWrap/>
            <w:vAlign w:val="bottom"/>
            <w:hideMark/>
          </w:tcPr>
          <w:p w14:paraId="42B2CCB3"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0,62</w:t>
            </w:r>
          </w:p>
        </w:tc>
        <w:tc>
          <w:tcPr>
            <w:tcW w:w="1259" w:type="dxa"/>
            <w:tcBorders>
              <w:top w:val="nil"/>
              <w:left w:val="nil"/>
              <w:bottom w:val="single" w:sz="4" w:space="0" w:color="auto"/>
              <w:right w:val="nil"/>
            </w:tcBorders>
            <w:shd w:val="clear" w:color="auto" w:fill="auto"/>
            <w:noWrap/>
            <w:vAlign w:val="bottom"/>
            <w:hideMark/>
          </w:tcPr>
          <w:p w14:paraId="6063C305"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0,14</w:t>
            </w:r>
          </w:p>
        </w:tc>
        <w:tc>
          <w:tcPr>
            <w:tcW w:w="280" w:type="dxa"/>
            <w:tcBorders>
              <w:top w:val="nil"/>
              <w:left w:val="nil"/>
              <w:bottom w:val="single" w:sz="4" w:space="0" w:color="auto"/>
              <w:right w:val="nil"/>
            </w:tcBorders>
            <w:shd w:val="clear" w:color="auto" w:fill="auto"/>
            <w:noWrap/>
            <w:vAlign w:val="bottom"/>
            <w:hideMark/>
          </w:tcPr>
          <w:p w14:paraId="6E3D8868"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 </w:t>
            </w:r>
          </w:p>
        </w:tc>
        <w:tc>
          <w:tcPr>
            <w:tcW w:w="625" w:type="dxa"/>
            <w:tcBorders>
              <w:top w:val="nil"/>
              <w:left w:val="nil"/>
              <w:bottom w:val="single" w:sz="4" w:space="0" w:color="auto"/>
              <w:right w:val="nil"/>
            </w:tcBorders>
            <w:shd w:val="clear" w:color="auto" w:fill="auto"/>
            <w:noWrap/>
            <w:vAlign w:val="bottom"/>
            <w:hideMark/>
          </w:tcPr>
          <w:p w14:paraId="49A6E5B5"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1,89</w:t>
            </w:r>
          </w:p>
        </w:tc>
        <w:tc>
          <w:tcPr>
            <w:tcW w:w="1232" w:type="dxa"/>
            <w:tcBorders>
              <w:top w:val="nil"/>
              <w:left w:val="nil"/>
              <w:bottom w:val="single" w:sz="4" w:space="0" w:color="auto"/>
              <w:right w:val="nil"/>
            </w:tcBorders>
            <w:shd w:val="clear" w:color="auto" w:fill="auto"/>
            <w:noWrap/>
            <w:vAlign w:val="bottom"/>
            <w:hideMark/>
          </w:tcPr>
          <w:p w14:paraId="22C72833"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0,38</w:t>
            </w:r>
          </w:p>
        </w:tc>
        <w:tc>
          <w:tcPr>
            <w:tcW w:w="1243" w:type="dxa"/>
            <w:tcBorders>
              <w:top w:val="nil"/>
              <w:left w:val="nil"/>
              <w:bottom w:val="single" w:sz="4" w:space="0" w:color="auto"/>
              <w:right w:val="nil"/>
            </w:tcBorders>
            <w:shd w:val="clear" w:color="auto" w:fill="auto"/>
            <w:noWrap/>
            <w:vAlign w:val="bottom"/>
            <w:hideMark/>
          </w:tcPr>
          <w:p w14:paraId="4D5DDF07" w14:textId="77777777" w:rsidR="005C1DAC" w:rsidRPr="005C1DAC" w:rsidRDefault="005C1DAC" w:rsidP="005C1DAC">
            <w:pPr>
              <w:spacing w:after="0" w:line="240" w:lineRule="auto"/>
              <w:jc w:val="center"/>
              <w:rPr>
                <w:rFonts w:eastAsia="Times New Roman" w:cs="Calibri"/>
                <w:color w:val="000000"/>
                <w:lang w:eastAsia="fi-FI"/>
              </w:rPr>
            </w:pPr>
            <w:r w:rsidRPr="005C1DAC">
              <w:rPr>
                <w:rFonts w:eastAsia="Times New Roman" w:cs="Calibri"/>
                <w:color w:val="000000"/>
                <w:lang w:eastAsia="fi-FI"/>
              </w:rPr>
              <w:t>0,09</w:t>
            </w:r>
          </w:p>
        </w:tc>
      </w:tr>
    </w:tbl>
    <w:p w14:paraId="6F15CA14" w14:textId="77777777" w:rsidR="005C1DAC" w:rsidRDefault="005C1DAC"/>
    <w:p w14:paraId="31F650FC" w14:textId="77777777" w:rsidR="00FF243B" w:rsidRDefault="00FF243B"/>
    <w:p w14:paraId="518DA6CB" w14:textId="77777777" w:rsidR="00B574B3" w:rsidRDefault="00C74D95" w:rsidP="00FF243B">
      <w:r>
        <w:rPr>
          <w:rFonts w:ascii="Times New Roman" w:hAnsi="Times New Roman"/>
          <w:noProof/>
          <w:sz w:val="24"/>
          <w:szCs w:val="24"/>
          <w:lang w:eastAsia="fi-FI"/>
        </w:rPr>
        <w:lastRenderedPageBreak/>
        <w:drawing>
          <wp:inline distT="0" distB="0" distL="0" distR="0" wp14:anchorId="59D25CF4" wp14:editId="7644D6ED">
            <wp:extent cx="5133340" cy="2835910"/>
            <wp:effectExtent l="0" t="0" r="10160" b="21590"/>
            <wp:docPr id="3" name="Kaavi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448C04" w14:textId="77777777" w:rsidR="00B574B3" w:rsidRPr="007A3370" w:rsidRDefault="00B574B3" w:rsidP="008F6575">
      <w:pPr>
        <w:rPr>
          <w:rFonts w:ascii="Times New Roman" w:hAnsi="Times New Roman"/>
          <w:i/>
          <w:sz w:val="24"/>
          <w:szCs w:val="24"/>
        </w:rPr>
      </w:pPr>
      <w:r>
        <w:rPr>
          <w:rFonts w:ascii="Times New Roman" w:hAnsi="Times New Roman"/>
          <w:b/>
          <w:i/>
          <w:sz w:val="24"/>
          <w:szCs w:val="24"/>
        </w:rPr>
        <w:t>Kuvio 3</w:t>
      </w:r>
      <w:r w:rsidRPr="007A3370">
        <w:rPr>
          <w:rFonts w:ascii="Times New Roman" w:hAnsi="Times New Roman"/>
          <w:b/>
          <w:i/>
          <w:sz w:val="24"/>
          <w:szCs w:val="24"/>
        </w:rPr>
        <w:t>.</w:t>
      </w:r>
      <w:r w:rsidRPr="007A3370">
        <w:rPr>
          <w:rFonts w:ascii="Times New Roman" w:hAnsi="Times New Roman"/>
          <w:i/>
          <w:sz w:val="24"/>
          <w:szCs w:val="24"/>
        </w:rPr>
        <w:t xml:space="preserve">  Energiaverojen ja veronkorotusten kustannusvaikutus kulutusmenoihin tulodesiileittäin, %</w:t>
      </w:r>
    </w:p>
    <w:p w14:paraId="5ABC603A" w14:textId="77777777" w:rsidR="00B574B3" w:rsidRDefault="00B574B3" w:rsidP="00130CCC">
      <w:pPr>
        <w:jc w:val="both"/>
        <w:rPr>
          <w:rFonts w:ascii="Times New Roman" w:hAnsi="Times New Roman"/>
          <w:sz w:val="24"/>
          <w:szCs w:val="24"/>
        </w:rPr>
      </w:pPr>
      <w:r>
        <w:rPr>
          <w:rFonts w:ascii="Times New Roman" w:hAnsi="Times New Roman"/>
          <w:sz w:val="24"/>
          <w:szCs w:val="24"/>
        </w:rPr>
        <w:t xml:space="preserve">Energiaverojen kustannusvaikutukset voidaan jakaa seuraaviin </w:t>
      </w:r>
      <w:r w:rsidR="005F3939">
        <w:rPr>
          <w:rFonts w:ascii="Times New Roman" w:hAnsi="Times New Roman"/>
          <w:sz w:val="24"/>
          <w:szCs w:val="24"/>
        </w:rPr>
        <w:t>energi</w:t>
      </w:r>
      <w:r w:rsidR="005C1DAC">
        <w:rPr>
          <w:rFonts w:ascii="Times New Roman" w:hAnsi="Times New Roman"/>
          <w:sz w:val="24"/>
          <w:szCs w:val="24"/>
        </w:rPr>
        <w:t>a</w:t>
      </w:r>
      <w:r>
        <w:rPr>
          <w:rFonts w:ascii="Times New Roman" w:hAnsi="Times New Roman"/>
          <w:sz w:val="24"/>
          <w:szCs w:val="24"/>
        </w:rPr>
        <w:t>komponentteihin:</w:t>
      </w:r>
    </w:p>
    <w:p w14:paraId="07C464B2" w14:textId="77777777" w:rsidR="00B574B3" w:rsidRPr="004415F7" w:rsidRDefault="00B574B3" w:rsidP="004415F7">
      <w:pPr>
        <w:pStyle w:val="Luettelokappale"/>
        <w:numPr>
          <w:ilvl w:val="0"/>
          <w:numId w:val="11"/>
        </w:numPr>
        <w:jc w:val="both"/>
        <w:rPr>
          <w:rFonts w:ascii="Times New Roman" w:hAnsi="Times New Roman"/>
          <w:sz w:val="24"/>
          <w:szCs w:val="24"/>
        </w:rPr>
      </w:pPr>
      <w:r w:rsidRPr="004415F7">
        <w:rPr>
          <w:rFonts w:ascii="Times New Roman" w:hAnsi="Times New Roman"/>
          <w:sz w:val="24"/>
          <w:szCs w:val="24"/>
        </w:rPr>
        <w:t>Liikennepolttonesteet (kotitalouksien ostamat bensiini ja diesel)</w:t>
      </w:r>
    </w:p>
    <w:p w14:paraId="1457A90E" w14:textId="77777777" w:rsidR="00B574B3" w:rsidRPr="004415F7" w:rsidRDefault="00B574B3" w:rsidP="004415F7">
      <w:pPr>
        <w:pStyle w:val="Luettelokappale"/>
        <w:numPr>
          <w:ilvl w:val="0"/>
          <w:numId w:val="11"/>
        </w:numPr>
        <w:jc w:val="both"/>
        <w:rPr>
          <w:rFonts w:ascii="Times New Roman" w:hAnsi="Times New Roman"/>
          <w:sz w:val="24"/>
          <w:szCs w:val="24"/>
        </w:rPr>
      </w:pPr>
      <w:r w:rsidRPr="004415F7">
        <w:rPr>
          <w:rFonts w:ascii="Times New Roman" w:hAnsi="Times New Roman"/>
          <w:sz w:val="24"/>
          <w:szCs w:val="24"/>
        </w:rPr>
        <w:t xml:space="preserve">Sähkö </w:t>
      </w:r>
    </w:p>
    <w:p w14:paraId="01FD2DE5" w14:textId="77777777" w:rsidR="00B574B3" w:rsidRPr="004415F7" w:rsidRDefault="00B574B3" w:rsidP="004415F7">
      <w:pPr>
        <w:pStyle w:val="Luettelokappale"/>
        <w:numPr>
          <w:ilvl w:val="0"/>
          <w:numId w:val="11"/>
        </w:numPr>
        <w:jc w:val="both"/>
        <w:rPr>
          <w:rFonts w:ascii="Times New Roman" w:hAnsi="Times New Roman"/>
          <w:sz w:val="24"/>
          <w:szCs w:val="24"/>
        </w:rPr>
      </w:pPr>
      <w:r w:rsidRPr="004415F7">
        <w:rPr>
          <w:rFonts w:ascii="Times New Roman" w:hAnsi="Times New Roman"/>
          <w:sz w:val="24"/>
          <w:szCs w:val="24"/>
        </w:rPr>
        <w:t>Suora lämmitysenergia (kaukolämpö, kevyt polttoöljy</w:t>
      </w:r>
      <w:r>
        <w:rPr>
          <w:rFonts w:ascii="Times New Roman" w:hAnsi="Times New Roman"/>
          <w:sz w:val="24"/>
          <w:szCs w:val="24"/>
        </w:rPr>
        <w:t>, ei sähkö</w:t>
      </w:r>
      <w:r w:rsidRPr="004415F7">
        <w:rPr>
          <w:rFonts w:ascii="Times New Roman" w:hAnsi="Times New Roman"/>
          <w:sz w:val="24"/>
          <w:szCs w:val="24"/>
        </w:rPr>
        <w:t>)</w:t>
      </w:r>
    </w:p>
    <w:p w14:paraId="68D65952" w14:textId="77777777" w:rsidR="00B574B3" w:rsidRPr="004415F7" w:rsidRDefault="00B574B3" w:rsidP="004415F7">
      <w:pPr>
        <w:pStyle w:val="Luettelokappale"/>
        <w:numPr>
          <w:ilvl w:val="0"/>
          <w:numId w:val="11"/>
        </w:numPr>
        <w:jc w:val="both"/>
        <w:rPr>
          <w:rFonts w:ascii="Times New Roman" w:hAnsi="Times New Roman"/>
          <w:sz w:val="24"/>
          <w:szCs w:val="24"/>
        </w:rPr>
      </w:pPr>
      <w:r w:rsidRPr="004415F7">
        <w:rPr>
          <w:rFonts w:ascii="Times New Roman" w:hAnsi="Times New Roman"/>
          <w:sz w:val="24"/>
          <w:szCs w:val="24"/>
        </w:rPr>
        <w:t>Asumisen välillinen energia (vuokra- ja osake</w:t>
      </w:r>
      <w:r>
        <w:rPr>
          <w:rFonts w:ascii="Times New Roman" w:hAnsi="Times New Roman"/>
          <w:sz w:val="24"/>
          <w:szCs w:val="24"/>
        </w:rPr>
        <w:t>a</w:t>
      </w:r>
      <w:r w:rsidRPr="004415F7">
        <w:rPr>
          <w:rFonts w:ascii="Times New Roman" w:hAnsi="Times New Roman"/>
          <w:sz w:val="24"/>
          <w:szCs w:val="24"/>
        </w:rPr>
        <w:t>suntojen vuokriin ja hoitovastikkeisiin sisältyvä lämmitysenergia)</w:t>
      </w:r>
    </w:p>
    <w:p w14:paraId="022D824D" w14:textId="77777777" w:rsidR="00B574B3" w:rsidRDefault="00B574B3" w:rsidP="004415F7">
      <w:pPr>
        <w:pStyle w:val="Luettelokappale"/>
        <w:numPr>
          <w:ilvl w:val="0"/>
          <w:numId w:val="11"/>
        </w:numPr>
        <w:jc w:val="both"/>
        <w:rPr>
          <w:rFonts w:ascii="Times New Roman" w:hAnsi="Times New Roman"/>
          <w:sz w:val="24"/>
          <w:szCs w:val="24"/>
        </w:rPr>
      </w:pPr>
      <w:r w:rsidRPr="004415F7">
        <w:rPr>
          <w:rFonts w:ascii="Times New Roman" w:hAnsi="Times New Roman"/>
          <w:sz w:val="24"/>
          <w:szCs w:val="24"/>
        </w:rPr>
        <w:t>Muu välillinen energia</w:t>
      </w:r>
      <w:r>
        <w:rPr>
          <w:rFonts w:ascii="Times New Roman" w:hAnsi="Times New Roman"/>
          <w:sz w:val="24"/>
          <w:szCs w:val="24"/>
        </w:rPr>
        <w:t xml:space="preserve"> (</w:t>
      </w:r>
      <w:r w:rsidR="005C1DAC">
        <w:rPr>
          <w:rFonts w:ascii="Times New Roman" w:hAnsi="Times New Roman"/>
          <w:sz w:val="24"/>
          <w:szCs w:val="24"/>
        </w:rPr>
        <w:t>kulutushyödykkeiden tuottamiseen ja jakeluun kotimaassa käytetty energia</w:t>
      </w:r>
      <w:r>
        <w:rPr>
          <w:rFonts w:ascii="Times New Roman" w:hAnsi="Times New Roman"/>
          <w:sz w:val="24"/>
          <w:szCs w:val="24"/>
        </w:rPr>
        <w:t>)</w:t>
      </w:r>
      <w:r w:rsidR="005C1DAC">
        <w:rPr>
          <w:rFonts w:ascii="Times New Roman" w:hAnsi="Times New Roman"/>
          <w:sz w:val="24"/>
          <w:szCs w:val="24"/>
        </w:rPr>
        <w:t>.</w:t>
      </w:r>
    </w:p>
    <w:p w14:paraId="26EC707B" w14:textId="77777777" w:rsidR="00B574B3" w:rsidRDefault="00B574B3" w:rsidP="004415F7">
      <w:pPr>
        <w:jc w:val="both"/>
        <w:rPr>
          <w:rFonts w:ascii="Times New Roman" w:hAnsi="Times New Roman"/>
          <w:sz w:val="24"/>
          <w:szCs w:val="24"/>
        </w:rPr>
      </w:pPr>
      <w:r>
        <w:rPr>
          <w:rFonts w:ascii="Times New Roman" w:hAnsi="Times New Roman"/>
          <w:sz w:val="24"/>
          <w:szCs w:val="24"/>
        </w:rPr>
        <w:t xml:space="preserve">Taulukossa 3 on esitetty vuoden 2012 </w:t>
      </w:r>
      <w:r w:rsidR="005F3939">
        <w:rPr>
          <w:rFonts w:ascii="Times New Roman" w:hAnsi="Times New Roman"/>
          <w:sz w:val="24"/>
          <w:szCs w:val="24"/>
        </w:rPr>
        <w:t>ener</w:t>
      </w:r>
      <w:r w:rsidR="005C1DAC">
        <w:rPr>
          <w:rFonts w:ascii="Times New Roman" w:hAnsi="Times New Roman"/>
          <w:sz w:val="24"/>
          <w:szCs w:val="24"/>
        </w:rPr>
        <w:t>giaverojen jakautuminen energiakomponenteittain</w:t>
      </w:r>
      <w:r w:rsidR="005F3939">
        <w:rPr>
          <w:rFonts w:ascii="Times New Roman" w:hAnsi="Times New Roman"/>
          <w:sz w:val="24"/>
          <w:szCs w:val="24"/>
        </w:rPr>
        <w:t xml:space="preserve"> </w:t>
      </w:r>
      <w:r w:rsidR="005C1DAC">
        <w:rPr>
          <w:rFonts w:ascii="Times New Roman" w:hAnsi="Times New Roman"/>
          <w:sz w:val="24"/>
          <w:szCs w:val="24"/>
        </w:rPr>
        <w:t>eri tuloluokissa.</w:t>
      </w:r>
    </w:p>
    <w:p w14:paraId="57A3F47A" w14:textId="77777777" w:rsidR="009639CA" w:rsidRPr="009639CA" w:rsidRDefault="009639CA" w:rsidP="009639CA">
      <w:pPr>
        <w:rPr>
          <w:rFonts w:ascii="Times New Roman" w:hAnsi="Times New Roman"/>
          <w:i/>
          <w:sz w:val="24"/>
          <w:szCs w:val="24"/>
        </w:rPr>
      </w:pPr>
      <w:r w:rsidRPr="009639CA">
        <w:rPr>
          <w:rFonts w:ascii="Times New Roman" w:hAnsi="Times New Roman"/>
          <w:b/>
          <w:i/>
          <w:sz w:val="24"/>
          <w:szCs w:val="24"/>
        </w:rPr>
        <w:t>Taulukko 3.</w:t>
      </w:r>
      <w:r w:rsidRPr="009639CA">
        <w:rPr>
          <w:rFonts w:ascii="Times New Roman" w:hAnsi="Times New Roman"/>
          <w:i/>
          <w:sz w:val="24"/>
          <w:szCs w:val="24"/>
        </w:rPr>
        <w:t xml:space="preserve"> Vuoden 2012 energiaverojen kustannusvaikutuksen jakautuminen energia</w:t>
      </w:r>
      <w:r>
        <w:rPr>
          <w:rFonts w:ascii="Times New Roman" w:hAnsi="Times New Roman"/>
          <w:i/>
          <w:sz w:val="24"/>
          <w:szCs w:val="24"/>
        </w:rPr>
        <w:t>-</w:t>
      </w:r>
      <w:r w:rsidRPr="009639CA">
        <w:rPr>
          <w:rFonts w:ascii="Times New Roman" w:hAnsi="Times New Roman"/>
          <w:i/>
          <w:sz w:val="24"/>
          <w:szCs w:val="24"/>
        </w:rPr>
        <w:t>komponentteihin eri tuloluokissa</w:t>
      </w:r>
      <w:r>
        <w:rPr>
          <w:rFonts w:ascii="Times New Roman" w:hAnsi="Times New Roman"/>
          <w:i/>
          <w:sz w:val="24"/>
          <w:szCs w:val="24"/>
        </w:rPr>
        <w:t>, %</w:t>
      </w:r>
    </w:p>
    <w:tbl>
      <w:tblPr>
        <w:tblW w:w="7924" w:type="dxa"/>
        <w:tblInd w:w="55" w:type="dxa"/>
        <w:tblCellMar>
          <w:left w:w="70" w:type="dxa"/>
          <w:right w:w="70" w:type="dxa"/>
        </w:tblCellMar>
        <w:tblLook w:val="04A0" w:firstRow="1" w:lastRow="0" w:firstColumn="1" w:lastColumn="0" w:noHBand="0" w:noVBand="1"/>
      </w:tblPr>
      <w:tblGrid>
        <w:gridCol w:w="1320"/>
        <w:gridCol w:w="960"/>
        <w:gridCol w:w="960"/>
        <w:gridCol w:w="1548"/>
        <w:gridCol w:w="1036"/>
        <w:gridCol w:w="1137"/>
        <w:gridCol w:w="963"/>
      </w:tblGrid>
      <w:tr w:rsidR="007A0470" w:rsidRPr="007A0470" w14:paraId="6D45DE60" w14:textId="77777777" w:rsidTr="005E4BFC">
        <w:trPr>
          <w:trHeight w:val="227"/>
        </w:trPr>
        <w:tc>
          <w:tcPr>
            <w:tcW w:w="1320" w:type="dxa"/>
            <w:tcBorders>
              <w:top w:val="single" w:sz="4" w:space="0" w:color="auto"/>
              <w:left w:val="nil"/>
              <w:bottom w:val="single" w:sz="4" w:space="0" w:color="auto"/>
              <w:right w:val="nil"/>
            </w:tcBorders>
            <w:shd w:val="clear" w:color="auto" w:fill="auto"/>
            <w:noWrap/>
            <w:vAlign w:val="bottom"/>
            <w:hideMark/>
          </w:tcPr>
          <w:p w14:paraId="47E6DC57" w14:textId="77777777" w:rsidR="007A0470" w:rsidRPr="007A0470" w:rsidRDefault="007A0470" w:rsidP="005E4BFC">
            <w:pPr>
              <w:spacing w:after="0" w:line="240" w:lineRule="auto"/>
              <w:rPr>
                <w:rFonts w:eastAsia="Times New Roman" w:cs="Calibri"/>
                <w:color w:val="000000"/>
                <w:lang w:eastAsia="fi-FI"/>
              </w:rPr>
            </w:pPr>
          </w:p>
        </w:tc>
        <w:tc>
          <w:tcPr>
            <w:tcW w:w="960" w:type="dxa"/>
            <w:tcBorders>
              <w:top w:val="single" w:sz="4" w:space="0" w:color="auto"/>
              <w:left w:val="nil"/>
              <w:bottom w:val="single" w:sz="4" w:space="0" w:color="auto"/>
              <w:right w:val="nil"/>
            </w:tcBorders>
            <w:shd w:val="clear" w:color="auto" w:fill="auto"/>
            <w:noWrap/>
            <w:vAlign w:val="bottom"/>
            <w:hideMark/>
          </w:tcPr>
          <w:p w14:paraId="7E9FBE48"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Liikenne</w:t>
            </w:r>
          </w:p>
        </w:tc>
        <w:tc>
          <w:tcPr>
            <w:tcW w:w="960" w:type="dxa"/>
            <w:tcBorders>
              <w:top w:val="single" w:sz="4" w:space="0" w:color="auto"/>
              <w:left w:val="nil"/>
              <w:bottom w:val="single" w:sz="4" w:space="0" w:color="auto"/>
              <w:right w:val="nil"/>
            </w:tcBorders>
            <w:shd w:val="clear" w:color="auto" w:fill="auto"/>
            <w:noWrap/>
            <w:vAlign w:val="bottom"/>
            <w:hideMark/>
          </w:tcPr>
          <w:p w14:paraId="5153D7B3"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Sähkö</w:t>
            </w:r>
          </w:p>
        </w:tc>
        <w:tc>
          <w:tcPr>
            <w:tcW w:w="1548" w:type="dxa"/>
            <w:tcBorders>
              <w:top w:val="single" w:sz="4" w:space="0" w:color="auto"/>
              <w:left w:val="nil"/>
              <w:bottom w:val="single" w:sz="4" w:space="0" w:color="auto"/>
              <w:right w:val="nil"/>
            </w:tcBorders>
            <w:shd w:val="clear" w:color="auto" w:fill="auto"/>
            <w:noWrap/>
            <w:vAlign w:val="bottom"/>
            <w:hideMark/>
          </w:tcPr>
          <w:p w14:paraId="1886DE7F"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Suorat lämmitysmenot</w:t>
            </w:r>
          </w:p>
        </w:tc>
        <w:tc>
          <w:tcPr>
            <w:tcW w:w="1036" w:type="dxa"/>
            <w:tcBorders>
              <w:top w:val="single" w:sz="4" w:space="0" w:color="auto"/>
              <w:left w:val="nil"/>
              <w:bottom w:val="single" w:sz="4" w:space="0" w:color="auto"/>
              <w:right w:val="nil"/>
            </w:tcBorders>
            <w:shd w:val="clear" w:color="auto" w:fill="auto"/>
            <w:noWrap/>
            <w:vAlign w:val="bottom"/>
            <w:hideMark/>
          </w:tcPr>
          <w:p w14:paraId="09127A4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Asuminen</w:t>
            </w:r>
          </w:p>
        </w:tc>
        <w:tc>
          <w:tcPr>
            <w:tcW w:w="1137" w:type="dxa"/>
            <w:tcBorders>
              <w:top w:val="single" w:sz="4" w:space="0" w:color="auto"/>
              <w:left w:val="nil"/>
              <w:bottom w:val="single" w:sz="4" w:space="0" w:color="auto"/>
              <w:right w:val="nil"/>
            </w:tcBorders>
            <w:shd w:val="clear" w:color="auto" w:fill="auto"/>
            <w:noWrap/>
            <w:vAlign w:val="bottom"/>
            <w:hideMark/>
          </w:tcPr>
          <w:p w14:paraId="24E94B29"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Välillinen energia</w:t>
            </w:r>
          </w:p>
        </w:tc>
        <w:tc>
          <w:tcPr>
            <w:tcW w:w="963" w:type="dxa"/>
            <w:tcBorders>
              <w:top w:val="single" w:sz="4" w:space="0" w:color="auto"/>
              <w:left w:val="nil"/>
              <w:bottom w:val="single" w:sz="4" w:space="0" w:color="auto"/>
              <w:right w:val="nil"/>
            </w:tcBorders>
            <w:shd w:val="clear" w:color="auto" w:fill="auto"/>
            <w:noWrap/>
            <w:vAlign w:val="bottom"/>
            <w:hideMark/>
          </w:tcPr>
          <w:p w14:paraId="24F5302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Yhteensä</w:t>
            </w:r>
          </w:p>
        </w:tc>
      </w:tr>
      <w:tr w:rsidR="007A0470" w:rsidRPr="007A0470" w14:paraId="4F7DD7B3" w14:textId="77777777" w:rsidTr="005E4BFC">
        <w:trPr>
          <w:trHeight w:val="227"/>
        </w:trPr>
        <w:tc>
          <w:tcPr>
            <w:tcW w:w="1320" w:type="dxa"/>
            <w:tcBorders>
              <w:top w:val="nil"/>
              <w:left w:val="nil"/>
              <w:bottom w:val="nil"/>
              <w:right w:val="nil"/>
            </w:tcBorders>
            <w:shd w:val="clear" w:color="auto" w:fill="auto"/>
            <w:noWrap/>
            <w:vAlign w:val="bottom"/>
            <w:hideMark/>
          </w:tcPr>
          <w:p w14:paraId="2C70F346"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Keskimäärin</w:t>
            </w:r>
          </w:p>
        </w:tc>
        <w:tc>
          <w:tcPr>
            <w:tcW w:w="960" w:type="dxa"/>
            <w:tcBorders>
              <w:top w:val="nil"/>
              <w:left w:val="nil"/>
              <w:bottom w:val="nil"/>
              <w:right w:val="nil"/>
            </w:tcBorders>
            <w:shd w:val="clear" w:color="auto" w:fill="auto"/>
            <w:noWrap/>
            <w:vAlign w:val="bottom"/>
            <w:hideMark/>
          </w:tcPr>
          <w:p w14:paraId="04319B93"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47,1</w:t>
            </w:r>
          </w:p>
        </w:tc>
        <w:tc>
          <w:tcPr>
            <w:tcW w:w="960" w:type="dxa"/>
            <w:tcBorders>
              <w:top w:val="nil"/>
              <w:left w:val="nil"/>
              <w:bottom w:val="nil"/>
              <w:right w:val="nil"/>
            </w:tcBorders>
            <w:shd w:val="clear" w:color="auto" w:fill="auto"/>
            <w:noWrap/>
            <w:vAlign w:val="bottom"/>
            <w:hideMark/>
          </w:tcPr>
          <w:p w14:paraId="7E2A136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13,4</w:t>
            </w:r>
          </w:p>
        </w:tc>
        <w:tc>
          <w:tcPr>
            <w:tcW w:w="1548" w:type="dxa"/>
            <w:tcBorders>
              <w:top w:val="nil"/>
              <w:left w:val="nil"/>
              <w:bottom w:val="nil"/>
              <w:right w:val="nil"/>
            </w:tcBorders>
            <w:shd w:val="clear" w:color="auto" w:fill="auto"/>
            <w:noWrap/>
            <w:vAlign w:val="bottom"/>
            <w:hideMark/>
          </w:tcPr>
          <w:p w14:paraId="2F36DDF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4,0</w:t>
            </w:r>
          </w:p>
        </w:tc>
        <w:tc>
          <w:tcPr>
            <w:tcW w:w="1036" w:type="dxa"/>
            <w:tcBorders>
              <w:top w:val="nil"/>
              <w:left w:val="nil"/>
              <w:bottom w:val="nil"/>
              <w:right w:val="nil"/>
            </w:tcBorders>
            <w:shd w:val="clear" w:color="auto" w:fill="auto"/>
            <w:noWrap/>
            <w:vAlign w:val="bottom"/>
            <w:hideMark/>
          </w:tcPr>
          <w:p w14:paraId="66EEF3B9"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6,9</w:t>
            </w:r>
          </w:p>
        </w:tc>
        <w:tc>
          <w:tcPr>
            <w:tcW w:w="1137" w:type="dxa"/>
            <w:tcBorders>
              <w:top w:val="nil"/>
              <w:left w:val="nil"/>
              <w:bottom w:val="nil"/>
              <w:right w:val="nil"/>
            </w:tcBorders>
            <w:shd w:val="clear" w:color="auto" w:fill="auto"/>
            <w:noWrap/>
            <w:vAlign w:val="bottom"/>
            <w:hideMark/>
          </w:tcPr>
          <w:p w14:paraId="7808DE9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28,6</w:t>
            </w:r>
          </w:p>
        </w:tc>
        <w:tc>
          <w:tcPr>
            <w:tcW w:w="963" w:type="dxa"/>
            <w:tcBorders>
              <w:top w:val="nil"/>
              <w:left w:val="nil"/>
              <w:bottom w:val="nil"/>
              <w:right w:val="nil"/>
            </w:tcBorders>
            <w:shd w:val="clear" w:color="auto" w:fill="auto"/>
            <w:noWrap/>
            <w:vAlign w:val="bottom"/>
            <w:hideMark/>
          </w:tcPr>
          <w:p w14:paraId="07512825"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620C8247" w14:textId="77777777" w:rsidTr="005E4BFC">
        <w:trPr>
          <w:trHeight w:val="227"/>
        </w:trPr>
        <w:tc>
          <w:tcPr>
            <w:tcW w:w="1320" w:type="dxa"/>
            <w:tcBorders>
              <w:top w:val="nil"/>
              <w:left w:val="nil"/>
              <w:bottom w:val="nil"/>
              <w:right w:val="nil"/>
            </w:tcBorders>
            <w:shd w:val="clear" w:color="auto" w:fill="auto"/>
            <w:noWrap/>
            <w:vAlign w:val="bottom"/>
            <w:hideMark/>
          </w:tcPr>
          <w:p w14:paraId="29C8DA13"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1. desiili</w:t>
            </w:r>
          </w:p>
        </w:tc>
        <w:tc>
          <w:tcPr>
            <w:tcW w:w="960" w:type="dxa"/>
            <w:tcBorders>
              <w:top w:val="nil"/>
              <w:left w:val="nil"/>
              <w:bottom w:val="nil"/>
              <w:right w:val="nil"/>
            </w:tcBorders>
            <w:shd w:val="clear" w:color="auto" w:fill="auto"/>
            <w:noWrap/>
            <w:vAlign w:val="bottom"/>
            <w:hideMark/>
          </w:tcPr>
          <w:p w14:paraId="1962E1E6"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38,1</w:t>
            </w:r>
          </w:p>
        </w:tc>
        <w:tc>
          <w:tcPr>
            <w:tcW w:w="960" w:type="dxa"/>
            <w:tcBorders>
              <w:top w:val="nil"/>
              <w:left w:val="nil"/>
              <w:bottom w:val="nil"/>
              <w:right w:val="nil"/>
            </w:tcBorders>
            <w:shd w:val="clear" w:color="auto" w:fill="auto"/>
            <w:noWrap/>
            <w:vAlign w:val="bottom"/>
            <w:hideMark/>
          </w:tcPr>
          <w:p w14:paraId="0180E39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13,5</w:t>
            </w:r>
          </w:p>
        </w:tc>
        <w:tc>
          <w:tcPr>
            <w:tcW w:w="1548" w:type="dxa"/>
            <w:tcBorders>
              <w:top w:val="nil"/>
              <w:left w:val="nil"/>
              <w:bottom w:val="nil"/>
              <w:right w:val="nil"/>
            </w:tcBorders>
            <w:shd w:val="clear" w:color="auto" w:fill="auto"/>
            <w:noWrap/>
            <w:vAlign w:val="bottom"/>
            <w:hideMark/>
          </w:tcPr>
          <w:p w14:paraId="48A8B435"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1,7</w:t>
            </w:r>
          </w:p>
        </w:tc>
        <w:tc>
          <w:tcPr>
            <w:tcW w:w="1036" w:type="dxa"/>
            <w:tcBorders>
              <w:top w:val="nil"/>
              <w:left w:val="nil"/>
              <w:bottom w:val="nil"/>
              <w:right w:val="nil"/>
            </w:tcBorders>
            <w:shd w:val="clear" w:color="auto" w:fill="auto"/>
            <w:noWrap/>
            <w:vAlign w:val="bottom"/>
            <w:hideMark/>
          </w:tcPr>
          <w:p w14:paraId="0B163B9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15,8</w:t>
            </w:r>
          </w:p>
        </w:tc>
        <w:tc>
          <w:tcPr>
            <w:tcW w:w="1137" w:type="dxa"/>
            <w:tcBorders>
              <w:top w:val="nil"/>
              <w:left w:val="nil"/>
              <w:bottom w:val="nil"/>
              <w:right w:val="nil"/>
            </w:tcBorders>
            <w:shd w:val="clear" w:color="auto" w:fill="auto"/>
            <w:noWrap/>
            <w:vAlign w:val="bottom"/>
            <w:hideMark/>
          </w:tcPr>
          <w:p w14:paraId="6EF9934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31,0</w:t>
            </w:r>
          </w:p>
        </w:tc>
        <w:tc>
          <w:tcPr>
            <w:tcW w:w="963" w:type="dxa"/>
            <w:tcBorders>
              <w:top w:val="nil"/>
              <w:left w:val="nil"/>
              <w:bottom w:val="nil"/>
              <w:right w:val="nil"/>
            </w:tcBorders>
            <w:shd w:val="clear" w:color="auto" w:fill="auto"/>
            <w:noWrap/>
            <w:vAlign w:val="bottom"/>
            <w:hideMark/>
          </w:tcPr>
          <w:p w14:paraId="77931EAB"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10937A78" w14:textId="77777777" w:rsidTr="005E4BFC">
        <w:trPr>
          <w:trHeight w:val="227"/>
        </w:trPr>
        <w:tc>
          <w:tcPr>
            <w:tcW w:w="1320" w:type="dxa"/>
            <w:tcBorders>
              <w:top w:val="nil"/>
              <w:left w:val="nil"/>
              <w:bottom w:val="nil"/>
              <w:right w:val="nil"/>
            </w:tcBorders>
            <w:shd w:val="clear" w:color="auto" w:fill="auto"/>
            <w:noWrap/>
            <w:vAlign w:val="bottom"/>
            <w:hideMark/>
          </w:tcPr>
          <w:p w14:paraId="14EEB6E3"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2. desiili</w:t>
            </w:r>
          </w:p>
        </w:tc>
        <w:tc>
          <w:tcPr>
            <w:tcW w:w="960" w:type="dxa"/>
            <w:tcBorders>
              <w:top w:val="nil"/>
              <w:left w:val="nil"/>
              <w:bottom w:val="nil"/>
              <w:right w:val="nil"/>
            </w:tcBorders>
            <w:shd w:val="clear" w:color="auto" w:fill="auto"/>
            <w:noWrap/>
            <w:vAlign w:val="bottom"/>
            <w:hideMark/>
          </w:tcPr>
          <w:p w14:paraId="24EAD4D2"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44,0</w:t>
            </w:r>
          </w:p>
        </w:tc>
        <w:tc>
          <w:tcPr>
            <w:tcW w:w="960" w:type="dxa"/>
            <w:tcBorders>
              <w:top w:val="nil"/>
              <w:left w:val="nil"/>
              <w:bottom w:val="nil"/>
              <w:right w:val="nil"/>
            </w:tcBorders>
            <w:shd w:val="clear" w:color="auto" w:fill="auto"/>
            <w:noWrap/>
            <w:vAlign w:val="bottom"/>
            <w:hideMark/>
          </w:tcPr>
          <w:p w14:paraId="5FF33229"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14,4</w:t>
            </w:r>
          </w:p>
        </w:tc>
        <w:tc>
          <w:tcPr>
            <w:tcW w:w="1548" w:type="dxa"/>
            <w:tcBorders>
              <w:top w:val="nil"/>
              <w:left w:val="nil"/>
              <w:bottom w:val="nil"/>
              <w:right w:val="nil"/>
            </w:tcBorders>
            <w:shd w:val="clear" w:color="auto" w:fill="auto"/>
            <w:noWrap/>
            <w:vAlign w:val="bottom"/>
            <w:hideMark/>
          </w:tcPr>
          <w:p w14:paraId="0FD83FB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2,9</w:t>
            </w:r>
          </w:p>
        </w:tc>
        <w:tc>
          <w:tcPr>
            <w:tcW w:w="1036" w:type="dxa"/>
            <w:tcBorders>
              <w:top w:val="nil"/>
              <w:left w:val="nil"/>
              <w:bottom w:val="nil"/>
              <w:right w:val="nil"/>
            </w:tcBorders>
            <w:shd w:val="clear" w:color="auto" w:fill="auto"/>
            <w:noWrap/>
            <w:vAlign w:val="bottom"/>
            <w:hideMark/>
          </w:tcPr>
          <w:p w14:paraId="7611FE43"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10,7</w:t>
            </w:r>
          </w:p>
        </w:tc>
        <w:tc>
          <w:tcPr>
            <w:tcW w:w="1137" w:type="dxa"/>
            <w:tcBorders>
              <w:top w:val="nil"/>
              <w:left w:val="nil"/>
              <w:bottom w:val="nil"/>
              <w:right w:val="nil"/>
            </w:tcBorders>
            <w:shd w:val="clear" w:color="auto" w:fill="auto"/>
            <w:noWrap/>
            <w:vAlign w:val="bottom"/>
            <w:hideMark/>
          </w:tcPr>
          <w:p w14:paraId="2B5450EB"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28,1</w:t>
            </w:r>
          </w:p>
        </w:tc>
        <w:tc>
          <w:tcPr>
            <w:tcW w:w="963" w:type="dxa"/>
            <w:tcBorders>
              <w:top w:val="nil"/>
              <w:left w:val="nil"/>
              <w:bottom w:val="nil"/>
              <w:right w:val="nil"/>
            </w:tcBorders>
            <w:shd w:val="clear" w:color="auto" w:fill="auto"/>
            <w:noWrap/>
            <w:vAlign w:val="bottom"/>
            <w:hideMark/>
          </w:tcPr>
          <w:p w14:paraId="5CB11585"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01658CE7" w14:textId="77777777" w:rsidTr="005E4BFC">
        <w:trPr>
          <w:trHeight w:val="227"/>
        </w:trPr>
        <w:tc>
          <w:tcPr>
            <w:tcW w:w="1320" w:type="dxa"/>
            <w:tcBorders>
              <w:top w:val="nil"/>
              <w:left w:val="nil"/>
              <w:bottom w:val="nil"/>
              <w:right w:val="nil"/>
            </w:tcBorders>
            <w:shd w:val="clear" w:color="auto" w:fill="auto"/>
            <w:noWrap/>
            <w:vAlign w:val="bottom"/>
            <w:hideMark/>
          </w:tcPr>
          <w:p w14:paraId="04CDF755"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3. desiili</w:t>
            </w:r>
          </w:p>
        </w:tc>
        <w:tc>
          <w:tcPr>
            <w:tcW w:w="960" w:type="dxa"/>
            <w:tcBorders>
              <w:top w:val="nil"/>
              <w:left w:val="nil"/>
              <w:bottom w:val="nil"/>
              <w:right w:val="nil"/>
            </w:tcBorders>
            <w:shd w:val="clear" w:color="auto" w:fill="auto"/>
            <w:noWrap/>
            <w:vAlign w:val="bottom"/>
            <w:hideMark/>
          </w:tcPr>
          <w:p w14:paraId="6C963205"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47,6</w:t>
            </w:r>
          </w:p>
        </w:tc>
        <w:tc>
          <w:tcPr>
            <w:tcW w:w="960" w:type="dxa"/>
            <w:tcBorders>
              <w:top w:val="nil"/>
              <w:left w:val="nil"/>
              <w:bottom w:val="nil"/>
              <w:right w:val="nil"/>
            </w:tcBorders>
            <w:shd w:val="clear" w:color="auto" w:fill="auto"/>
            <w:noWrap/>
            <w:vAlign w:val="bottom"/>
            <w:hideMark/>
          </w:tcPr>
          <w:p w14:paraId="5909E838"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13,2</w:t>
            </w:r>
          </w:p>
        </w:tc>
        <w:tc>
          <w:tcPr>
            <w:tcW w:w="1548" w:type="dxa"/>
            <w:tcBorders>
              <w:top w:val="nil"/>
              <w:left w:val="nil"/>
              <w:bottom w:val="nil"/>
              <w:right w:val="nil"/>
            </w:tcBorders>
            <w:shd w:val="clear" w:color="auto" w:fill="auto"/>
            <w:noWrap/>
            <w:vAlign w:val="bottom"/>
            <w:hideMark/>
          </w:tcPr>
          <w:p w14:paraId="6C1E96AA"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3,2</w:t>
            </w:r>
          </w:p>
        </w:tc>
        <w:tc>
          <w:tcPr>
            <w:tcW w:w="1036" w:type="dxa"/>
            <w:tcBorders>
              <w:top w:val="nil"/>
              <w:left w:val="nil"/>
              <w:bottom w:val="nil"/>
              <w:right w:val="nil"/>
            </w:tcBorders>
            <w:shd w:val="clear" w:color="auto" w:fill="auto"/>
            <w:noWrap/>
            <w:vAlign w:val="bottom"/>
            <w:hideMark/>
          </w:tcPr>
          <w:p w14:paraId="6C86EE4B"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8,6</w:t>
            </w:r>
          </w:p>
        </w:tc>
        <w:tc>
          <w:tcPr>
            <w:tcW w:w="1137" w:type="dxa"/>
            <w:tcBorders>
              <w:top w:val="nil"/>
              <w:left w:val="nil"/>
              <w:bottom w:val="nil"/>
              <w:right w:val="nil"/>
            </w:tcBorders>
            <w:shd w:val="clear" w:color="auto" w:fill="auto"/>
            <w:noWrap/>
            <w:vAlign w:val="bottom"/>
            <w:hideMark/>
          </w:tcPr>
          <w:p w14:paraId="0F709AE0"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27,4</w:t>
            </w:r>
          </w:p>
        </w:tc>
        <w:tc>
          <w:tcPr>
            <w:tcW w:w="963" w:type="dxa"/>
            <w:tcBorders>
              <w:top w:val="nil"/>
              <w:left w:val="nil"/>
              <w:bottom w:val="nil"/>
              <w:right w:val="nil"/>
            </w:tcBorders>
            <w:shd w:val="clear" w:color="auto" w:fill="auto"/>
            <w:noWrap/>
            <w:vAlign w:val="bottom"/>
            <w:hideMark/>
          </w:tcPr>
          <w:p w14:paraId="6DF23EF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1557205A" w14:textId="77777777" w:rsidTr="005E4BFC">
        <w:trPr>
          <w:trHeight w:val="227"/>
        </w:trPr>
        <w:tc>
          <w:tcPr>
            <w:tcW w:w="1320" w:type="dxa"/>
            <w:tcBorders>
              <w:top w:val="nil"/>
              <w:left w:val="nil"/>
              <w:bottom w:val="nil"/>
              <w:right w:val="nil"/>
            </w:tcBorders>
            <w:shd w:val="clear" w:color="auto" w:fill="auto"/>
            <w:noWrap/>
            <w:vAlign w:val="bottom"/>
            <w:hideMark/>
          </w:tcPr>
          <w:p w14:paraId="2FDB3C61"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4. desiili</w:t>
            </w:r>
          </w:p>
        </w:tc>
        <w:tc>
          <w:tcPr>
            <w:tcW w:w="960" w:type="dxa"/>
            <w:tcBorders>
              <w:top w:val="nil"/>
              <w:left w:val="nil"/>
              <w:bottom w:val="nil"/>
              <w:right w:val="nil"/>
            </w:tcBorders>
            <w:shd w:val="clear" w:color="auto" w:fill="auto"/>
            <w:noWrap/>
            <w:vAlign w:val="bottom"/>
            <w:hideMark/>
          </w:tcPr>
          <w:p w14:paraId="08A8338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47,5</w:t>
            </w:r>
          </w:p>
        </w:tc>
        <w:tc>
          <w:tcPr>
            <w:tcW w:w="960" w:type="dxa"/>
            <w:tcBorders>
              <w:top w:val="nil"/>
              <w:left w:val="nil"/>
              <w:bottom w:val="nil"/>
              <w:right w:val="nil"/>
            </w:tcBorders>
            <w:shd w:val="clear" w:color="auto" w:fill="auto"/>
            <w:noWrap/>
            <w:vAlign w:val="bottom"/>
            <w:hideMark/>
          </w:tcPr>
          <w:p w14:paraId="37CC87CF"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12,8</w:t>
            </w:r>
          </w:p>
        </w:tc>
        <w:tc>
          <w:tcPr>
            <w:tcW w:w="1548" w:type="dxa"/>
            <w:tcBorders>
              <w:top w:val="nil"/>
              <w:left w:val="nil"/>
              <w:bottom w:val="nil"/>
              <w:right w:val="nil"/>
            </w:tcBorders>
            <w:shd w:val="clear" w:color="auto" w:fill="auto"/>
            <w:noWrap/>
            <w:vAlign w:val="bottom"/>
            <w:hideMark/>
          </w:tcPr>
          <w:p w14:paraId="3C82EB46"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5,0</w:t>
            </w:r>
          </w:p>
        </w:tc>
        <w:tc>
          <w:tcPr>
            <w:tcW w:w="1036" w:type="dxa"/>
            <w:tcBorders>
              <w:top w:val="nil"/>
              <w:left w:val="nil"/>
              <w:bottom w:val="nil"/>
              <w:right w:val="nil"/>
            </w:tcBorders>
            <w:shd w:val="clear" w:color="auto" w:fill="auto"/>
            <w:noWrap/>
            <w:vAlign w:val="bottom"/>
            <w:hideMark/>
          </w:tcPr>
          <w:p w14:paraId="0588C123"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7,7</w:t>
            </w:r>
          </w:p>
        </w:tc>
        <w:tc>
          <w:tcPr>
            <w:tcW w:w="1137" w:type="dxa"/>
            <w:tcBorders>
              <w:top w:val="nil"/>
              <w:left w:val="nil"/>
              <w:bottom w:val="nil"/>
              <w:right w:val="nil"/>
            </w:tcBorders>
            <w:shd w:val="clear" w:color="auto" w:fill="auto"/>
            <w:noWrap/>
            <w:vAlign w:val="bottom"/>
            <w:hideMark/>
          </w:tcPr>
          <w:p w14:paraId="6A6613F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26,9</w:t>
            </w:r>
          </w:p>
        </w:tc>
        <w:tc>
          <w:tcPr>
            <w:tcW w:w="963" w:type="dxa"/>
            <w:tcBorders>
              <w:top w:val="nil"/>
              <w:left w:val="nil"/>
              <w:bottom w:val="nil"/>
              <w:right w:val="nil"/>
            </w:tcBorders>
            <w:shd w:val="clear" w:color="auto" w:fill="auto"/>
            <w:noWrap/>
            <w:vAlign w:val="bottom"/>
            <w:hideMark/>
          </w:tcPr>
          <w:p w14:paraId="69199432"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39D94954" w14:textId="77777777" w:rsidTr="005E4BFC">
        <w:trPr>
          <w:trHeight w:val="227"/>
        </w:trPr>
        <w:tc>
          <w:tcPr>
            <w:tcW w:w="1320" w:type="dxa"/>
            <w:tcBorders>
              <w:top w:val="nil"/>
              <w:left w:val="nil"/>
              <w:bottom w:val="nil"/>
              <w:right w:val="nil"/>
            </w:tcBorders>
            <w:shd w:val="clear" w:color="auto" w:fill="auto"/>
            <w:noWrap/>
            <w:vAlign w:val="bottom"/>
            <w:hideMark/>
          </w:tcPr>
          <w:p w14:paraId="4A80DC89"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5. desiili</w:t>
            </w:r>
          </w:p>
        </w:tc>
        <w:tc>
          <w:tcPr>
            <w:tcW w:w="960" w:type="dxa"/>
            <w:tcBorders>
              <w:top w:val="nil"/>
              <w:left w:val="nil"/>
              <w:bottom w:val="nil"/>
              <w:right w:val="nil"/>
            </w:tcBorders>
            <w:shd w:val="clear" w:color="auto" w:fill="auto"/>
            <w:noWrap/>
            <w:vAlign w:val="bottom"/>
            <w:hideMark/>
          </w:tcPr>
          <w:p w14:paraId="4C99445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47,7</w:t>
            </w:r>
          </w:p>
        </w:tc>
        <w:tc>
          <w:tcPr>
            <w:tcW w:w="960" w:type="dxa"/>
            <w:tcBorders>
              <w:top w:val="nil"/>
              <w:left w:val="nil"/>
              <w:bottom w:val="nil"/>
              <w:right w:val="nil"/>
            </w:tcBorders>
            <w:shd w:val="clear" w:color="auto" w:fill="auto"/>
            <w:noWrap/>
            <w:vAlign w:val="bottom"/>
            <w:hideMark/>
          </w:tcPr>
          <w:p w14:paraId="2EDEBB62"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13,0</w:t>
            </w:r>
          </w:p>
        </w:tc>
        <w:tc>
          <w:tcPr>
            <w:tcW w:w="1548" w:type="dxa"/>
            <w:tcBorders>
              <w:top w:val="nil"/>
              <w:left w:val="nil"/>
              <w:bottom w:val="nil"/>
              <w:right w:val="nil"/>
            </w:tcBorders>
            <w:shd w:val="clear" w:color="auto" w:fill="auto"/>
            <w:noWrap/>
            <w:vAlign w:val="bottom"/>
            <w:hideMark/>
          </w:tcPr>
          <w:p w14:paraId="31C75DEB"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4,4</w:t>
            </w:r>
          </w:p>
        </w:tc>
        <w:tc>
          <w:tcPr>
            <w:tcW w:w="1036" w:type="dxa"/>
            <w:tcBorders>
              <w:top w:val="nil"/>
              <w:left w:val="nil"/>
              <w:bottom w:val="nil"/>
              <w:right w:val="nil"/>
            </w:tcBorders>
            <w:shd w:val="clear" w:color="auto" w:fill="auto"/>
            <w:noWrap/>
            <w:vAlign w:val="bottom"/>
            <w:hideMark/>
          </w:tcPr>
          <w:p w14:paraId="486AC68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7,1</w:t>
            </w:r>
          </w:p>
        </w:tc>
        <w:tc>
          <w:tcPr>
            <w:tcW w:w="1137" w:type="dxa"/>
            <w:tcBorders>
              <w:top w:val="nil"/>
              <w:left w:val="nil"/>
              <w:bottom w:val="nil"/>
              <w:right w:val="nil"/>
            </w:tcBorders>
            <w:shd w:val="clear" w:color="auto" w:fill="auto"/>
            <w:noWrap/>
            <w:vAlign w:val="bottom"/>
            <w:hideMark/>
          </w:tcPr>
          <w:p w14:paraId="434E1D4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27,8</w:t>
            </w:r>
          </w:p>
        </w:tc>
        <w:tc>
          <w:tcPr>
            <w:tcW w:w="963" w:type="dxa"/>
            <w:tcBorders>
              <w:top w:val="nil"/>
              <w:left w:val="nil"/>
              <w:bottom w:val="nil"/>
              <w:right w:val="nil"/>
            </w:tcBorders>
            <w:shd w:val="clear" w:color="auto" w:fill="auto"/>
            <w:noWrap/>
            <w:vAlign w:val="bottom"/>
            <w:hideMark/>
          </w:tcPr>
          <w:p w14:paraId="26C6F608"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4BD7BCA6" w14:textId="77777777" w:rsidTr="005E4BFC">
        <w:trPr>
          <w:trHeight w:val="227"/>
        </w:trPr>
        <w:tc>
          <w:tcPr>
            <w:tcW w:w="1320" w:type="dxa"/>
            <w:tcBorders>
              <w:top w:val="nil"/>
              <w:left w:val="nil"/>
              <w:bottom w:val="nil"/>
              <w:right w:val="nil"/>
            </w:tcBorders>
            <w:shd w:val="clear" w:color="auto" w:fill="auto"/>
            <w:noWrap/>
            <w:vAlign w:val="bottom"/>
            <w:hideMark/>
          </w:tcPr>
          <w:p w14:paraId="5FDEECBC"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6. desiili</w:t>
            </w:r>
          </w:p>
        </w:tc>
        <w:tc>
          <w:tcPr>
            <w:tcW w:w="960" w:type="dxa"/>
            <w:tcBorders>
              <w:top w:val="nil"/>
              <w:left w:val="nil"/>
              <w:bottom w:val="nil"/>
              <w:right w:val="nil"/>
            </w:tcBorders>
            <w:shd w:val="clear" w:color="auto" w:fill="auto"/>
            <w:noWrap/>
            <w:vAlign w:val="bottom"/>
            <w:hideMark/>
          </w:tcPr>
          <w:p w14:paraId="062CE49B"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48,5</w:t>
            </w:r>
          </w:p>
        </w:tc>
        <w:tc>
          <w:tcPr>
            <w:tcW w:w="960" w:type="dxa"/>
            <w:tcBorders>
              <w:top w:val="nil"/>
              <w:left w:val="nil"/>
              <w:bottom w:val="nil"/>
              <w:right w:val="nil"/>
            </w:tcBorders>
            <w:shd w:val="clear" w:color="auto" w:fill="auto"/>
            <w:noWrap/>
            <w:vAlign w:val="bottom"/>
            <w:hideMark/>
          </w:tcPr>
          <w:p w14:paraId="034ACEE7"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14,6</w:t>
            </w:r>
          </w:p>
        </w:tc>
        <w:tc>
          <w:tcPr>
            <w:tcW w:w="1548" w:type="dxa"/>
            <w:tcBorders>
              <w:top w:val="nil"/>
              <w:left w:val="nil"/>
              <w:bottom w:val="nil"/>
              <w:right w:val="nil"/>
            </w:tcBorders>
            <w:shd w:val="clear" w:color="auto" w:fill="auto"/>
            <w:noWrap/>
            <w:vAlign w:val="bottom"/>
            <w:hideMark/>
          </w:tcPr>
          <w:p w14:paraId="67F0170F"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4,5</w:t>
            </w:r>
          </w:p>
        </w:tc>
        <w:tc>
          <w:tcPr>
            <w:tcW w:w="1036" w:type="dxa"/>
            <w:tcBorders>
              <w:top w:val="nil"/>
              <w:left w:val="nil"/>
              <w:bottom w:val="nil"/>
              <w:right w:val="nil"/>
            </w:tcBorders>
            <w:shd w:val="clear" w:color="auto" w:fill="auto"/>
            <w:noWrap/>
            <w:vAlign w:val="bottom"/>
            <w:hideMark/>
          </w:tcPr>
          <w:p w14:paraId="00B17B90"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4,9</w:t>
            </w:r>
          </w:p>
        </w:tc>
        <w:tc>
          <w:tcPr>
            <w:tcW w:w="1137" w:type="dxa"/>
            <w:tcBorders>
              <w:top w:val="nil"/>
              <w:left w:val="nil"/>
              <w:bottom w:val="nil"/>
              <w:right w:val="nil"/>
            </w:tcBorders>
            <w:shd w:val="clear" w:color="auto" w:fill="auto"/>
            <w:noWrap/>
            <w:vAlign w:val="bottom"/>
            <w:hideMark/>
          </w:tcPr>
          <w:p w14:paraId="33DDF70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27,5</w:t>
            </w:r>
          </w:p>
        </w:tc>
        <w:tc>
          <w:tcPr>
            <w:tcW w:w="963" w:type="dxa"/>
            <w:tcBorders>
              <w:top w:val="nil"/>
              <w:left w:val="nil"/>
              <w:bottom w:val="nil"/>
              <w:right w:val="nil"/>
            </w:tcBorders>
            <w:shd w:val="clear" w:color="auto" w:fill="auto"/>
            <w:noWrap/>
            <w:vAlign w:val="bottom"/>
            <w:hideMark/>
          </w:tcPr>
          <w:p w14:paraId="655A14AA"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4A3213FE" w14:textId="77777777" w:rsidTr="005E4BFC">
        <w:trPr>
          <w:trHeight w:val="227"/>
        </w:trPr>
        <w:tc>
          <w:tcPr>
            <w:tcW w:w="1320" w:type="dxa"/>
            <w:tcBorders>
              <w:top w:val="nil"/>
              <w:left w:val="nil"/>
              <w:bottom w:val="nil"/>
              <w:right w:val="nil"/>
            </w:tcBorders>
            <w:shd w:val="clear" w:color="auto" w:fill="auto"/>
            <w:noWrap/>
            <w:vAlign w:val="bottom"/>
            <w:hideMark/>
          </w:tcPr>
          <w:p w14:paraId="2E6D0A44"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7. desiili</w:t>
            </w:r>
          </w:p>
        </w:tc>
        <w:tc>
          <w:tcPr>
            <w:tcW w:w="960" w:type="dxa"/>
            <w:tcBorders>
              <w:top w:val="nil"/>
              <w:left w:val="nil"/>
              <w:bottom w:val="nil"/>
              <w:right w:val="nil"/>
            </w:tcBorders>
            <w:shd w:val="clear" w:color="auto" w:fill="auto"/>
            <w:noWrap/>
            <w:vAlign w:val="bottom"/>
            <w:hideMark/>
          </w:tcPr>
          <w:p w14:paraId="282FA40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49,8</w:t>
            </w:r>
          </w:p>
        </w:tc>
        <w:tc>
          <w:tcPr>
            <w:tcW w:w="960" w:type="dxa"/>
            <w:tcBorders>
              <w:top w:val="nil"/>
              <w:left w:val="nil"/>
              <w:bottom w:val="nil"/>
              <w:right w:val="nil"/>
            </w:tcBorders>
            <w:shd w:val="clear" w:color="auto" w:fill="auto"/>
            <w:noWrap/>
            <w:vAlign w:val="bottom"/>
            <w:hideMark/>
          </w:tcPr>
          <w:p w14:paraId="46B370E9"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12,9</w:t>
            </w:r>
          </w:p>
        </w:tc>
        <w:tc>
          <w:tcPr>
            <w:tcW w:w="1548" w:type="dxa"/>
            <w:tcBorders>
              <w:top w:val="nil"/>
              <w:left w:val="nil"/>
              <w:bottom w:val="nil"/>
              <w:right w:val="nil"/>
            </w:tcBorders>
            <w:shd w:val="clear" w:color="auto" w:fill="auto"/>
            <w:noWrap/>
            <w:vAlign w:val="bottom"/>
            <w:hideMark/>
          </w:tcPr>
          <w:p w14:paraId="6CFF7D79"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3,6</w:t>
            </w:r>
          </w:p>
        </w:tc>
        <w:tc>
          <w:tcPr>
            <w:tcW w:w="1036" w:type="dxa"/>
            <w:tcBorders>
              <w:top w:val="nil"/>
              <w:left w:val="nil"/>
              <w:bottom w:val="nil"/>
              <w:right w:val="nil"/>
            </w:tcBorders>
            <w:shd w:val="clear" w:color="auto" w:fill="auto"/>
            <w:noWrap/>
            <w:vAlign w:val="bottom"/>
            <w:hideMark/>
          </w:tcPr>
          <w:p w14:paraId="207D7B3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5,3</w:t>
            </w:r>
          </w:p>
        </w:tc>
        <w:tc>
          <w:tcPr>
            <w:tcW w:w="1137" w:type="dxa"/>
            <w:tcBorders>
              <w:top w:val="nil"/>
              <w:left w:val="nil"/>
              <w:bottom w:val="nil"/>
              <w:right w:val="nil"/>
            </w:tcBorders>
            <w:shd w:val="clear" w:color="auto" w:fill="auto"/>
            <w:noWrap/>
            <w:vAlign w:val="bottom"/>
            <w:hideMark/>
          </w:tcPr>
          <w:p w14:paraId="08EC314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28,4</w:t>
            </w:r>
          </w:p>
        </w:tc>
        <w:tc>
          <w:tcPr>
            <w:tcW w:w="963" w:type="dxa"/>
            <w:tcBorders>
              <w:top w:val="nil"/>
              <w:left w:val="nil"/>
              <w:bottom w:val="nil"/>
              <w:right w:val="nil"/>
            </w:tcBorders>
            <w:shd w:val="clear" w:color="auto" w:fill="auto"/>
            <w:noWrap/>
            <w:vAlign w:val="bottom"/>
            <w:hideMark/>
          </w:tcPr>
          <w:p w14:paraId="682ABA18"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1F239F31" w14:textId="77777777" w:rsidTr="005E4BFC">
        <w:trPr>
          <w:trHeight w:val="227"/>
        </w:trPr>
        <w:tc>
          <w:tcPr>
            <w:tcW w:w="1320" w:type="dxa"/>
            <w:tcBorders>
              <w:top w:val="nil"/>
              <w:left w:val="nil"/>
              <w:bottom w:val="nil"/>
              <w:right w:val="nil"/>
            </w:tcBorders>
            <w:shd w:val="clear" w:color="auto" w:fill="auto"/>
            <w:noWrap/>
            <w:vAlign w:val="bottom"/>
            <w:hideMark/>
          </w:tcPr>
          <w:p w14:paraId="7E35D8FA"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8. desiili</w:t>
            </w:r>
          </w:p>
        </w:tc>
        <w:tc>
          <w:tcPr>
            <w:tcW w:w="960" w:type="dxa"/>
            <w:tcBorders>
              <w:top w:val="nil"/>
              <w:left w:val="nil"/>
              <w:bottom w:val="nil"/>
              <w:right w:val="nil"/>
            </w:tcBorders>
            <w:shd w:val="clear" w:color="auto" w:fill="auto"/>
            <w:noWrap/>
            <w:vAlign w:val="bottom"/>
            <w:hideMark/>
          </w:tcPr>
          <w:p w14:paraId="72D1E9A0"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50,1</w:t>
            </w:r>
          </w:p>
        </w:tc>
        <w:tc>
          <w:tcPr>
            <w:tcW w:w="960" w:type="dxa"/>
            <w:tcBorders>
              <w:top w:val="nil"/>
              <w:left w:val="nil"/>
              <w:bottom w:val="nil"/>
              <w:right w:val="nil"/>
            </w:tcBorders>
            <w:shd w:val="clear" w:color="auto" w:fill="auto"/>
            <w:noWrap/>
            <w:vAlign w:val="bottom"/>
            <w:hideMark/>
          </w:tcPr>
          <w:p w14:paraId="79FC943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12,3</w:t>
            </w:r>
          </w:p>
        </w:tc>
        <w:tc>
          <w:tcPr>
            <w:tcW w:w="1548" w:type="dxa"/>
            <w:tcBorders>
              <w:top w:val="nil"/>
              <w:left w:val="nil"/>
              <w:bottom w:val="nil"/>
              <w:right w:val="nil"/>
            </w:tcBorders>
            <w:shd w:val="clear" w:color="auto" w:fill="auto"/>
            <w:noWrap/>
            <w:vAlign w:val="bottom"/>
            <w:hideMark/>
          </w:tcPr>
          <w:p w14:paraId="69CFBE67"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4,4</w:t>
            </w:r>
          </w:p>
        </w:tc>
        <w:tc>
          <w:tcPr>
            <w:tcW w:w="1036" w:type="dxa"/>
            <w:tcBorders>
              <w:top w:val="nil"/>
              <w:left w:val="nil"/>
              <w:bottom w:val="nil"/>
              <w:right w:val="nil"/>
            </w:tcBorders>
            <w:shd w:val="clear" w:color="auto" w:fill="auto"/>
            <w:noWrap/>
            <w:vAlign w:val="bottom"/>
            <w:hideMark/>
          </w:tcPr>
          <w:p w14:paraId="61C851F4"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4,8</w:t>
            </w:r>
          </w:p>
        </w:tc>
        <w:tc>
          <w:tcPr>
            <w:tcW w:w="1137" w:type="dxa"/>
            <w:tcBorders>
              <w:top w:val="nil"/>
              <w:left w:val="nil"/>
              <w:bottom w:val="nil"/>
              <w:right w:val="nil"/>
            </w:tcBorders>
            <w:shd w:val="clear" w:color="auto" w:fill="auto"/>
            <w:noWrap/>
            <w:vAlign w:val="bottom"/>
            <w:hideMark/>
          </w:tcPr>
          <w:p w14:paraId="5CFCE3FE"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28,4</w:t>
            </w:r>
          </w:p>
        </w:tc>
        <w:tc>
          <w:tcPr>
            <w:tcW w:w="963" w:type="dxa"/>
            <w:tcBorders>
              <w:top w:val="nil"/>
              <w:left w:val="nil"/>
              <w:bottom w:val="nil"/>
              <w:right w:val="nil"/>
            </w:tcBorders>
            <w:shd w:val="clear" w:color="auto" w:fill="auto"/>
            <w:noWrap/>
            <w:vAlign w:val="bottom"/>
            <w:hideMark/>
          </w:tcPr>
          <w:p w14:paraId="6CC365C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5FAEE75A" w14:textId="77777777" w:rsidTr="005E4BFC">
        <w:trPr>
          <w:trHeight w:val="227"/>
        </w:trPr>
        <w:tc>
          <w:tcPr>
            <w:tcW w:w="1320" w:type="dxa"/>
            <w:tcBorders>
              <w:top w:val="nil"/>
              <w:left w:val="nil"/>
              <w:right w:val="nil"/>
            </w:tcBorders>
            <w:shd w:val="clear" w:color="auto" w:fill="auto"/>
            <w:noWrap/>
            <w:vAlign w:val="bottom"/>
            <w:hideMark/>
          </w:tcPr>
          <w:p w14:paraId="349EDADE"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9. desiili</w:t>
            </w:r>
          </w:p>
        </w:tc>
        <w:tc>
          <w:tcPr>
            <w:tcW w:w="960" w:type="dxa"/>
            <w:tcBorders>
              <w:top w:val="nil"/>
              <w:left w:val="nil"/>
              <w:right w:val="nil"/>
            </w:tcBorders>
            <w:shd w:val="clear" w:color="auto" w:fill="auto"/>
            <w:noWrap/>
            <w:vAlign w:val="bottom"/>
            <w:hideMark/>
          </w:tcPr>
          <w:p w14:paraId="4D3F35B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47,3</w:t>
            </w:r>
          </w:p>
        </w:tc>
        <w:tc>
          <w:tcPr>
            <w:tcW w:w="960" w:type="dxa"/>
            <w:tcBorders>
              <w:top w:val="nil"/>
              <w:left w:val="nil"/>
              <w:right w:val="nil"/>
            </w:tcBorders>
            <w:shd w:val="clear" w:color="auto" w:fill="auto"/>
            <w:noWrap/>
            <w:vAlign w:val="bottom"/>
            <w:hideMark/>
          </w:tcPr>
          <w:p w14:paraId="0CFD6B41"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13,4</w:t>
            </w:r>
          </w:p>
        </w:tc>
        <w:tc>
          <w:tcPr>
            <w:tcW w:w="1548" w:type="dxa"/>
            <w:tcBorders>
              <w:top w:val="nil"/>
              <w:left w:val="nil"/>
              <w:right w:val="nil"/>
            </w:tcBorders>
            <w:shd w:val="clear" w:color="auto" w:fill="auto"/>
            <w:noWrap/>
            <w:vAlign w:val="bottom"/>
            <w:hideMark/>
          </w:tcPr>
          <w:p w14:paraId="71085D0D"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4,4</w:t>
            </w:r>
          </w:p>
        </w:tc>
        <w:tc>
          <w:tcPr>
            <w:tcW w:w="1036" w:type="dxa"/>
            <w:tcBorders>
              <w:top w:val="nil"/>
              <w:left w:val="nil"/>
              <w:right w:val="nil"/>
            </w:tcBorders>
            <w:shd w:val="clear" w:color="auto" w:fill="auto"/>
            <w:noWrap/>
            <w:vAlign w:val="bottom"/>
            <w:hideMark/>
          </w:tcPr>
          <w:p w14:paraId="68E69DA7"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4,9</w:t>
            </w:r>
          </w:p>
        </w:tc>
        <w:tc>
          <w:tcPr>
            <w:tcW w:w="1137" w:type="dxa"/>
            <w:tcBorders>
              <w:top w:val="nil"/>
              <w:left w:val="nil"/>
              <w:right w:val="nil"/>
            </w:tcBorders>
            <w:shd w:val="clear" w:color="auto" w:fill="auto"/>
            <w:noWrap/>
            <w:vAlign w:val="bottom"/>
            <w:hideMark/>
          </w:tcPr>
          <w:p w14:paraId="723AF917"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30,0</w:t>
            </w:r>
          </w:p>
        </w:tc>
        <w:tc>
          <w:tcPr>
            <w:tcW w:w="963" w:type="dxa"/>
            <w:tcBorders>
              <w:top w:val="nil"/>
              <w:left w:val="nil"/>
              <w:right w:val="nil"/>
            </w:tcBorders>
            <w:shd w:val="clear" w:color="auto" w:fill="auto"/>
            <w:noWrap/>
            <w:vAlign w:val="bottom"/>
            <w:hideMark/>
          </w:tcPr>
          <w:p w14:paraId="5B72D6FF"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r w:rsidR="007A0470" w:rsidRPr="007A0470" w14:paraId="4361E43C" w14:textId="77777777" w:rsidTr="005E4BFC">
        <w:trPr>
          <w:trHeight w:val="227"/>
        </w:trPr>
        <w:tc>
          <w:tcPr>
            <w:tcW w:w="1320" w:type="dxa"/>
            <w:tcBorders>
              <w:top w:val="nil"/>
              <w:left w:val="nil"/>
              <w:bottom w:val="single" w:sz="4" w:space="0" w:color="auto"/>
              <w:right w:val="nil"/>
            </w:tcBorders>
            <w:shd w:val="clear" w:color="auto" w:fill="auto"/>
            <w:noWrap/>
            <w:vAlign w:val="bottom"/>
            <w:hideMark/>
          </w:tcPr>
          <w:p w14:paraId="53EE450E" w14:textId="77777777" w:rsidR="007A0470" w:rsidRPr="007A0470" w:rsidRDefault="007A0470" w:rsidP="007A0470">
            <w:pPr>
              <w:spacing w:after="0" w:line="240" w:lineRule="auto"/>
              <w:rPr>
                <w:rFonts w:eastAsia="Times New Roman" w:cs="Calibri"/>
                <w:color w:val="000000"/>
                <w:lang w:eastAsia="fi-FI"/>
              </w:rPr>
            </w:pPr>
            <w:r w:rsidRPr="007A0470">
              <w:rPr>
                <w:rFonts w:eastAsia="Times New Roman" w:cs="Calibri"/>
                <w:color w:val="000000"/>
                <w:lang w:eastAsia="fi-FI"/>
              </w:rPr>
              <w:t>10. desiili</w:t>
            </w:r>
          </w:p>
        </w:tc>
        <w:tc>
          <w:tcPr>
            <w:tcW w:w="960" w:type="dxa"/>
            <w:tcBorders>
              <w:top w:val="nil"/>
              <w:left w:val="nil"/>
              <w:bottom w:val="single" w:sz="4" w:space="0" w:color="auto"/>
              <w:right w:val="nil"/>
            </w:tcBorders>
            <w:shd w:val="clear" w:color="auto" w:fill="auto"/>
            <w:noWrap/>
            <w:vAlign w:val="bottom"/>
            <w:hideMark/>
          </w:tcPr>
          <w:p w14:paraId="76DC105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45,7</w:t>
            </w:r>
          </w:p>
        </w:tc>
        <w:tc>
          <w:tcPr>
            <w:tcW w:w="960" w:type="dxa"/>
            <w:tcBorders>
              <w:top w:val="nil"/>
              <w:left w:val="nil"/>
              <w:bottom w:val="single" w:sz="4" w:space="0" w:color="auto"/>
              <w:right w:val="nil"/>
            </w:tcBorders>
            <w:shd w:val="clear" w:color="auto" w:fill="auto"/>
            <w:noWrap/>
            <w:vAlign w:val="bottom"/>
            <w:hideMark/>
          </w:tcPr>
          <w:p w14:paraId="736C974C"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13,8</w:t>
            </w:r>
          </w:p>
        </w:tc>
        <w:tc>
          <w:tcPr>
            <w:tcW w:w="1548" w:type="dxa"/>
            <w:tcBorders>
              <w:top w:val="nil"/>
              <w:left w:val="nil"/>
              <w:bottom w:val="single" w:sz="4" w:space="0" w:color="auto"/>
              <w:right w:val="nil"/>
            </w:tcBorders>
            <w:shd w:val="clear" w:color="auto" w:fill="auto"/>
            <w:noWrap/>
            <w:vAlign w:val="bottom"/>
            <w:hideMark/>
          </w:tcPr>
          <w:p w14:paraId="27F544CF"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4,4</w:t>
            </w:r>
          </w:p>
        </w:tc>
        <w:tc>
          <w:tcPr>
            <w:tcW w:w="1036" w:type="dxa"/>
            <w:tcBorders>
              <w:top w:val="nil"/>
              <w:left w:val="nil"/>
              <w:bottom w:val="single" w:sz="4" w:space="0" w:color="auto"/>
              <w:right w:val="nil"/>
            </w:tcBorders>
            <w:shd w:val="clear" w:color="auto" w:fill="auto"/>
            <w:noWrap/>
            <w:vAlign w:val="bottom"/>
            <w:hideMark/>
          </w:tcPr>
          <w:p w14:paraId="075D78F8"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5,6</w:t>
            </w:r>
          </w:p>
        </w:tc>
        <w:tc>
          <w:tcPr>
            <w:tcW w:w="1137" w:type="dxa"/>
            <w:tcBorders>
              <w:top w:val="nil"/>
              <w:left w:val="nil"/>
              <w:bottom w:val="single" w:sz="4" w:space="0" w:color="auto"/>
              <w:right w:val="nil"/>
            </w:tcBorders>
            <w:shd w:val="clear" w:color="auto" w:fill="auto"/>
            <w:noWrap/>
            <w:vAlign w:val="bottom"/>
            <w:hideMark/>
          </w:tcPr>
          <w:p w14:paraId="27F66550"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30,4</w:t>
            </w:r>
          </w:p>
        </w:tc>
        <w:tc>
          <w:tcPr>
            <w:tcW w:w="963" w:type="dxa"/>
            <w:tcBorders>
              <w:top w:val="nil"/>
              <w:left w:val="nil"/>
              <w:bottom w:val="single" w:sz="4" w:space="0" w:color="auto"/>
              <w:right w:val="nil"/>
            </w:tcBorders>
            <w:shd w:val="clear" w:color="auto" w:fill="auto"/>
            <w:noWrap/>
            <w:vAlign w:val="bottom"/>
            <w:hideMark/>
          </w:tcPr>
          <w:p w14:paraId="32996FC7" w14:textId="77777777" w:rsidR="007A0470" w:rsidRPr="007A0470" w:rsidRDefault="007A0470" w:rsidP="007A0470">
            <w:pPr>
              <w:spacing w:after="0" w:line="240" w:lineRule="auto"/>
              <w:jc w:val="center"/>
              <w:rPr>
                <w:rFonts w:eastAsia="Times New Roman" w:cs="Calibri"/>
                <w:color w:val="000000"/>
                <w:lang w:eastAsia="fi-FI"/>
              </w:rPr>
            </w:pPr>
            <w:r w:rsidRPr="007A0470">
              <w:rPr>
                <w:rFonts w:eastAsia="Times New Roman" w:cs="Calibri"/>
                <w:color w:val="000000"/>
                <w:lang w:eastAsia="fi-FI"/>
              </w:rPr>
              <w:t>100,0</w:t>
            </w:r>
          </w:p>
        </w:tc>
      </w:tr>
    </w:tbl>
    <w:p w14:paraId="1D7D9B74" w14:textId="77777777" w:rsidR="00B574B3" w:rsidRDefault="00B574B3" w:rsidP="004415F7">
      <w:pPr>
        <w:jc w:val="both"/>
        <w:rPr>
          <w:rFonts w:ascii="Times New Roman" w:hAnsi="Times New Roman"/>
          <w:sz w:val="24"/>
          <w:szCs w:val="24"/>
        </w:rPr>
      </w:pPr>
    </w:p>
    <w:p w14:paraId="76C179D1" w14:textId="77777777" w:rsidR="005E4BFC" w:rsidRDefault="00B574B3" w:rsidP="00130CCC">
      <w:pPr>
        <w:jc w:val="both"/>
        <w:rPr>
          <w:rFonts w:ascii="Times New Roman" w:hAnsi="Times New Roman"/>
          <w:sz w:val="24"/>
          <w:szCs w:val="24"/>
        </w:rPr>
      </w:pPr>
      <w:r>
        <w:rPr>
          <w:rFonts w:ascii="Times New Roman" w:hAnsi="Times New Roman"/>
          <w:sz w:val="24"/>
          <w:szCs w:val="24"/>
        </w:rPr>
        <w:t>Liikennepolttonesteiden energiaverotuksen ku</w:t>
      </w:r>
      <w:r w:rsidR="007A0470">
        <w:rPr>
          <w:rFonts w:ascii="Times New Roman" w:hAnsi="Times New Roman"/>
          <w:sz w:val="24"/>
          <w:szCs w:val="24"/>
        </w:rPr>
        <w:t>stannusosuus on lähes puolet, 47</w:t>
      </w:r>
      <w:r>
        <w:rPr>
          <w:rFonts w:ascii="Times New Roman" w:hAnsi="Times New Roman"/>
          <w:sz w:val="24"/>
          <w:szCs w:val="24"/>
        </w:rPr>
        <w:t xml:space="preserve"> %, energia</w:t>
      </w:r>
      <w:r w:rsidR="007A0470">
        <w:rPr>
          <w:rFonts w:ascii="Times New Roman" w:hAnsi="Times New Roman"/>
          <w:sz w:val="24"/>
          <w:szCs w:val="24"/>
        </w:rPr>
        <w:softHyphen/>
      </w:r>
      <w:r>
        <w:rPr>
          <w:rFonts w:ascii="Times New Roman" w:hAnsi="Times New Roman"/>
          <w:sz w:val="24"/>
          <w:szCs w:val="24"/>
        </w:rPr>
        <w:t>verotuksen kustannusvaikutuksista keskimäärin. Selkeästi pienin kustannusosuus on alimmassa tulodesiilissä. Korkeimmillaan osuus on ”ylemmässä keskiluokassa”, desiileissä 7 ja 8. Sähköveron kustannusosuus maksetuista energ</w:t>
      </w:r>
      <w:r w:rsidR="007A0470">
        <w:rPr>
          <w:rFonts w:ascii="Times New Roman" w:hAnsi="Times New Roman"/>
          <w:sz w:val="24"/>
          <w:szCs w:val="24"/>
        </w:rPr>
        <w:t>iaveroista on keskimäärin runsaat 13</w:t>
      </w:r>
      <w:r>
        <w:rPr>
          <w:rFonts w:ascii="Times New Roman" w:hAnsi="Times New Roman"/>
          <w:sz w:val="24"/>
          <w:szCs w:val="24"/>
        </w:rPr>
        <w:t xml:space="preserve"> %, joka sisältää sekä ns. kotitaloussähkön ja lämmityssähkön. Sähköveron kustannusosuus on lähes yhtä suuri kaikiss</w:t>
      </w:r>
      <w:r w:rsidR="00BF5B24">
        <w:rPr>
          <w:rFonts w:ascii="Times New Roman" w:hAnsi="Times New Roman"/>
          <w:sz w:val="24"/>
          <w:szCs w:val="24"/>
        </w:rPr>
        <w:t xml:space="preserve">a tuloluokissa.  </w:t>
      </w:r>
      <w:r w:rsidR="003E20D6">
        <w:rPr>
          <w:rFonts w:ascii="Times New Roman" w:hAnsi="Times New Roman"/>
          <w:sz w:val="24"/>
          <w:szCs w:val="24"/>
        </w:rPr>
        <w:t xml:space="preserve">Muun </w:t>
      </w:r>
      <w:r>
        <w:rPr>
          <w:rFonts w:ascii="Times New Roman" w:hAnsi="Times New Roman"/>
          <w:sz w:val="24"/>
          <w:szCs w:val="24"/>
        </w:rPr>
        <w:t>lämmitysenergian (suorat lämmitysmenot + asuminen) sähköä lukuun ottamatta verokustannusten osuus on yhteensä noin 11 %. Asumisen välillisen lämmitysenergian ku</w:t>
      </w:r>
      <w:r w:rsidR="003E20D6">
        <w:rPr>
          <w:rFonts w:ascii="Times New Roman" w:hAnsi="Times New Roman"/>
          <w:sz w:val="24"/>
          <w:szCs w:val="24"/>
        </w:rPr>
        <w:t>stannusosuus on selkeästi korkea</w:t>
      </w:r>
      <w:r>
        <w:rPr>
          <w:rFonts w:ascii="Times New Roman" w:hAnsi="Times New Roman"/>
          <w:sz w:val="24"/>
          <w:szCs w:val="24"/>
        </w:rPr>
        <w:t>mpi ali</w:t>
      </w:r>
      <w:r w:rsidR="003E20D6">
        <w:rPr>
          <w:rFonts w:ascii="Times New Roman" w:hAnsi="Times New Roman"/>
          <w:sz w:val="24"/>
          <w:szCs w:val="24"/>
        </w:rPr>
        <w:t xml:space="preserve">mmissa tulodesiileissä. Muihin </w:t>
      </w:r>
      <w:r>
        <w:rPr>
          <w:rFonts w:ascii="Times New Roman" w:hAnsi="Times New Roman"/>
          <w:sz w:val="24"/>
          <w:szCs w:val="24"/>
        </w:rPr>
        <w:t xml:space="preserve">kulutushyödykkeisiin sisältyvien välillisen energian verokustannusten osuus on keskimäärin runsaat 27 %. Korkeimmillaan ne ovat alimmassa ja ylimmässä tulodesiilissä. Muita tuloluokkia korkeampi vero-osuus johtuu alimmassa desiilissä yleisten kulkuneuvojen käytöstä, joka on välillistä energiankäyttöä toisin </w:t>
      </w:r>
      <w:r w:rsidR="003E20D6">
        <w:rPr>
          <w:rFonts w:ascii="Times New Roman" w:hAnsi="Times New Roman"/>
          <w:sz w:val="24"/>
          <w:szCs w:val="24"/>
        </w:rPr>
        <w:t>kuin omalla autolla liikkuminen.</w:t>
      </w:r>
      <w:r>
        <w:rPr>
          <w:rFonts w:ascii="Times New Roman" w:hAnsi="Times New Roman"/>
          <w:sz w:val="24"/>
          <w:szCs w:val="24"/>
        </w:rPr>
        <w:t xml:space="preserve"> Ylimmissä tuloluokissa sen sijaan välilliseen energiankäyttöön liittyvien energiaverojen muita tuloluokkia korkeampi osuus johtuu </w:t>
      </w:r>
      <w:r w:rsidR="005E4BFC">
        <w:rPr>
          <w:rFonts w:ascii="Times New Roman" w:hAnsi="Times New Roman"/>
          <w:sz w:val="24"/>
          <w:szCs w:val="24"/>
        </w:rPr>
        <w:t xml:space="preserve">mm. matkailuun liittyvästä lentoliikenteen käytöstä. </w:t>
      </w:r>
    </w:p>
    <w:p w14:paraId="776B4E78" w14:textId="77777777" w:rsidR="00B574B3" w:rsidRDefault="00B574B3" w:rsidP="00130CCC">
      <w:pPr>
        <w:jc w:val="both"/>
        <w:rPr>
          <w:rFonts w:ascii="Times New Roman" w:hAnsi="Times New Roman"/>
          <w:sz w:val="24"/>
          <w:szCs w:val="24"/>
        </w:rPr>
      </w:pPr>
      <w:r w:rsidRPr="00130CCC">
        <w:rPr>
          <w:rFonts w:ascii="Times New Roman" w:hAnsi="Times New Roman"/>
          <w:sz w:val="24"/>
          <w:szCs w:val="24"/>
        </w:rPr>
        <w:t xml:space="preserve">Tulonjakovaikutusten tarkastelussa huomion kohteena ovat </w:t>
      </w:r>
      <w:r>
        <w:rPr>
          <w:rFonts w:ascii="Times New Roman" w:hAnsi="Times New Roman"/>
          <w:sz w:val="24"/>
          <w:szCs w:val="24"/>
        </w:rPr>
        <w:t xml:space="preserve">energiaverojen korotusten </w:t>
      </w:r>
      <w:r w:rsidRPr="00130CCC">
        <w:rPr>
          <w:rFonts w:ascii="Times New Roman" w:hAnsi="Times New Roman"/>
          <w:sz w:val="24"/>
          <w:szCs w:val="24"/>
        </w:rPr>
        <w:t>vaikutukset t</w:t>
      </w:r>
      <w:r>
        <w:rPr>
          <w:rFonts w:ascii="Times New Roman" w:hAnsi="Times New Roman"/>
          <w:sz w:val="24"/>
          <w:szCs w:val="24"/>
        </w:rPr>
        <w:t>ulojen ostovoimaan. Taulukossa 4</w:t>
      </w:r>
      <w:r w:rsidRPr="00130CCC">
        <w:rPr>
          <w:rFonts w:ascii="Times New Roman" w:hAnsi="Times New Roman"/>
          <w:sz w:val="24"/>
          <w:szCs w:val="24"/>
        </w:rPr>
        <w:t xml:space="preserve"> </w:t>
      </w:r>
      <w:r>
        <w:rPr>
          <w:rFonts w:ascii="Times New Roman" w:hAnsi="Times New Roman"/>
          <w:sz w:val="24"/>
          <w:szCs w:val="24"/>
        </w:rPr>
        <w:t xml:space="preserve">ja kuviossa 4 </w:t>
      </w:r>
      <w:r w:rsidRPr="00130CCC">
        <w:rPr>
          <w:rFonts w:ascii="Times New Roman" w:hAnsi="Times New Roman"/>
          <w:sz w:val="24"/>
          <w:szCs w:val="24"/>
        </w:rPr>
        <w:t>on esitetty energiaverojen kustannusvaikutukset suhteessa tuloihin, eli taulukko kertoo, kuinka</w:t>
      </w:r>
      <w:r w:rsidR="005E4BFC">
        <w:rPr>
          <w:rFonts w:ascii="Times New Roman" w:hAnsi="Times New Roman"/>
          <w:sz w:val="24"/>
          <w:szCs w:val="24"/>
        </w:rPr>
        <w:t xml:space="preserve"> monta prosenttia</w:t>
      </w:r>
      <w:r w:rsidRPr="00130CCC">
        <w:rPr>
          <w:rFonts w:ascii="Times New Roman" w:hAnsi="Times New Roman"/>
          <w:sz w:val="24"/>
          <w:szCs w:val="24"/>
        </w:rPr>
        <w:t xml:space="preserve"> tulojen ostovoima supistuu </w:t>
      </w:r>
      <w:r>
        <w:rPr>
          <w:rFonts w:ascii="Times New Roman" w:hAnsi="Times New Roman"/>
          <w:sz w:val="24"/>
          <w:szCs w:val="24"/>
        </w:rPr>
        <w:t>vuoden 2012 sekä 2015 verotasossa verrattuna vuoteen 2010.</w:t>
      </w:r>
    </w:p>
    <w:p w14:paraId="6AAE420F" w14:textId="77777777" w:rsidR="00B574B3" w:rsidRDefault="00B574B3" w:rsidP="00AF103D">
      <w:pPr>
        <w:rPr>
          <w:rFonts w:ascii="Times New Roman" w:hAnsi="Times New Roman"/>
          <w:i/>
          <w:sz w:val="24"/>
          <w:szCs w:val="24"/>
        </w:rPr>
      </w:pPr>
      <w:r>
        <w:rPr>
          <w:rFonts w:ascii="Times New Roman" w:hAnsi="Times New Roman"/>
          <w:b/>
          <w:i/>
          <w:sz w:val="24"/>
          <w:szCs w:val="24"/>
        </w:rPr>
        <w:t>Taulukko 4</w:t>
      </w:r>
      <w:r w:rsidRPr="00CD3EF3">
        <w:rPr>
          <w:rFonts w:ascii="Times New Roman" w:hAnsi="Times New Roman"/>
          <w:b/>
          <w:i/>
          <w:sz w:val="24"/>
          <w:szCs w:val="24"/>
        </w:rPr>
        <w:t>.</w:t>
      </w:r>
      <w:r w:rsidRPr="00CD3EF3">
        <w:rPr>
          <w:rFonts w:ascii="Times New Roman" w:hAnsi="Times New Roman"/>
          <w:i/>
          <w:sz w:val="24"/>
          <w:szCs w:val="24"/>
        </w:rPr>
        <w:t xml:space="preserve">  Energiaverojen ja veronkorotusten kustannusvaikutus suhteessa tuloihin tulodesiileittäin, </w:t>
      </w:r>
      <w:r w:rsidR="005E4BFC">
        <w:rPr>
          <w:rFonts w:ascii="Times New Roman" w:hAnsi="Times New Roman"/>
          <w:i/>
          <w:sz w:val="24"/>
          <w:szCs w:val="24"/>
        </w:rPr>
        <w:t xml:space="preserve">energiaverot yhteensä ja suoran energiankulutuksen verot, </w:t>
      </w:r>
      <w:r w:rsidRPr="00CD3EF3">
        <w:rPr>
          <w:rFonts w:ascii="Times New Roman" w:hAnsi="Times New Roman"/>
          <w:i/>
          <w:sz w:val="24"/>
          <w:szCs w:val="24"/>
        </w:rPr>
        <w:t>%</w:t>
      </w:r>
    </w:p>
    <w:tbl>
      <w:tblPr>
        <w:tblW w:w="7940" w:type="dxa"/>
        <w:tblCellMar>
          <w:left w:w="70" w:type="dxa"/>
          <w:right w:w="70" w:type="dxa"/>
        </w:tblCellMar>
        <w:tblLook w:val="04A0" w:firstRow="1" w:lastRow="0" w:firstColumn="1" w:lastColumn="0" w:noHBand="0" w:noVBand="1"/>
      </w:tblPr>
      <w:tblGrid>
        <w:gridCol w:w="1300"/>
        <w:gridCol w:w="621"/>
        <w:gridCol w:w="1224"/>
        <w:gridCol w:w="1235"/>
        <w:gridCol w:w="480"/>
        <w:gridCol w:w="621"/>
        <w:gridCol w:w="1224"/>
        <w:gridCol w:w="1235"/>
      </w:tblGrid>
      <w:tr w:rsidR="005F3939" w:rsidRPr="005F3939" w14:paraId="2C3573E2" w14:textId="77777777" w:rsidTr="005F3939">
        <w:trPr>
          <w:trHeight w:val="227"/>
        </w:trPr>
        <w:tc>
          <w:tcPr>
            <w:tcW w:w="1300" w:type="dxa"/>
            <w:tcBorders>
              <w:top w:val="single" w:sz="4" w:space="0" w:color="auto"/>
              <w:left w:val="nil"/>
              <w:bottom w:val="nil"/>
              <w:right w:val="nil"/>
            </w:tcBorders>
            <w:shd w:val="clear" w:color="auto" w:fill="auto"/>
            <w:noWrap/>
            <w:vAlign w:val="bottom"/>
            <w:hideMark/>
          </w:tcPr>
          <w:p w14:paraId="3A292C04"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 </w:t>
            </w:r>
          </w:p>
        </w:tc>
        <w:tc>
          <w:tcPr>
            <w:tcW w:w="3080" w:type="dxa"/>
            <w:gridSpan w:val="3"/>
            <w:tcBorders>
              <w:top w:val="single" w:sz="4" w:space="0" w:color="auto"/>
              <w:left w:val="nil"/>
              <w:bottom w:val="single" w:sz="4" w:space="0" w:color="auto"/>
              <w:right w:val="nil"/>
            </w:tcBorders>
            <w:shd w:val="clear" w:color="auto" w:fill="auto"/>
            <w:noWrap/>
            <w:vAlign w:val="bottom"/>
            <w:hideMark/>
          </w:tcPr>
          <w:p w14:paraId="588A64E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Energiaverot yhteensä</w:t>
            </w:r>
          </w:p>
        </w:tc>
        <w:tc>
          <w:tcPr>
            <w:tcW w:w="480" w:type="dxa"/>
            <w:tcBorders>
              <w:top w:val="single" w:sz="4" w:space="0" w:color="auto"/>
              <w:left w:val="nil"/>
              <w:bottom w:val="nil"/>
              <w:right w:val="nil"/>
            </w:tcBorders>
            <w:shd w:val="clear" w:color="auto" w:fill="auto"/>
            <w:noWrap/>
            <w:vAlign w:val="bottom"/>
            <w:hideMark/>
          </w:tcPr>
          <w:p w14:paraId="504CD3E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 </w:t>
            </w:r>
          </w:p>
        </w:tc>
        <w:tc>
          <w:tcPr>
            <w:tcW w:w="3080" w:type="dxa"/>
            <w:gridSpan w:val="3"/>
            <w:tcBorders>
              <w:top w:val="single" w:sz="4" w:space="0" w:color="auto"/>
              <w:left w:val="nil"/>
              <w:bottom w:val="single" w:sz="4" w:space="0" w:color="auto"/>
              <w:right w:val="nil"/>
            </w:tcBorders>
            <w:shd w:val="clear" w:color="auto" w:fill="auto"/>
            <w:noWrap/>
            <w:vAlign w:val="bottom"/>
            <w:hideMark/>
          </w:tcPr>
          <w:p w14:paraId="2E69CEF6"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Suorat energiaverot</w:t>
            </w:r>
          </w:p>
        </w:tc>
      </w:tr>
      <w:tr w:rsidR="005F3939" w:rsidRPr="005F3939" w14:paraId="6C3530E7" w14:textId="77777777" w:rsidTr="005F3939">
        <w:trPr>
          <w:trHeight w:val="227"/>
        </w:trPr>
        <w:tc>
          <w:tcPr>
            <w:tcW w:w="1300" w:type="dxa"/>
            <w:tcBorders>
              <w:top w:val="nil"/>
              <w:left w:val="nil"/>
              <w:bottom w:val="nil"/>
              <w:right w:val="nil"/>
            </w:tcBorders>
            <w:shd w:val="clear" w:color="auto" w:fill="auto"/>
            <w:noWrap/>
            <w:vAlign w:val="bottom"/>
            <w:hideMark/>
          </w:tcPr>
          <w:p w14:paraId="19AB67A4" w14:textId="77777777" w:rsidR="005F3939" w:rsidRPr="005F3939" w:rsidRDefault="005F3939" w:rsidP="005F3939">
            <w:pPr>
              <w:spacing w:after="0" w:line="240" w:lineRule="auto"/>
              <w:rPr>
                <w:rFonts w:eastAsia="Times New Roman" w:cs="Calibri"/>
                <w:color w:val="000000"/>
                <w:lang w:eastAsia="fi-FI"/>
              </w:rPr>
            </w:pPr>
          </w:p>
        </w:tc>
        <w:tc>
          <w:tcPr>
            <w:tcW w:w="621" w:type="dxa"/>
            <w:tcBorders>
              <w:top w:val="single" w:sz="4" w:space="0" w:color="auto"/>
              <w:left w:val="nil"/>
              <w:bottom w:val="nil"/>
              <w:right w:val="nil"/>
            </w:tcBorders>
            <w:shd w:val="clear" w:color="auto" w:fill="auto"/>
            <w:noWrap/>
            <w:vAlign w:val="bottom"/>
            <w:hideMark/>
          </w:tcPr>
          <w:p w14:paraId="5FB3BD71"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2010</w:t>
            </w:r>
          </w:p>
        </w:tc>
        <w:tc>
          <w:tcPr>
            <w:tcW w:w="1224" w:type="dxa"/>
            <w:tcBorders>
              <w:top w:val="single" w:sz="4" w:space="0" w:color="auto"/>
              <w:left w:val="nil"/>
              <w:bottom w:val="nil"/>
              <w:right w:val="nil"/>
            </w:tcBorders>
            <w:shd w:val="clear" w:color="auto" w:fill="auto"/>
            <w:noWrap/>
            <w:vAlign w:val="bottom"/>
            <w:hideMark/>
          </w:tcPr>
          <w:p w14:paraId="0D77811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2012</w:t>
            </w:r>
          </w:p>
        </w:tc>
        <w:tc>
          <w:tcPr>
            <w:tcW w:w="1235" w:type="dxa"/>
            <w:tcBorders>
              <w:top w:val="single" w:sz="4" w:space="0" w:color="auto"/>
              <w:left w:val="nil"/>
              <w:bottom w:val="nil"/>
              <w:right w:val="nil"/>
            </w:tcBorders>
            <w:shd w:val="clear" w:color="auto" w:fill="auto"/>
            <w:noWrap/>
            <w:vAlign w:val="bottom"/>
            <w:hideMark/>
          </w:tcPr>
          <w:p w14:paraId="3CA08F3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2015</w:t>
            </w:r>
          </w:p>
        </w:tc>
        <w:tc>
          <w:tcPr>
            <w:tcW w:w="480" w:type="dxa"/>
            <w:tcBorders>
              <w:top w:val="nil"/>
              <w:left w:val="nil"/>
              <w:bottom w:val="nil"/>
              <w:right w:val="nil"/>
            </w:tcBorders>
            <w:shd w:val="clear" w:color="auto" w:fill="auto"/>
            <w:noWrap/>
            <w:vAlign w:val="bottom"/>
            <w:hideMark/>
          </w:tcPr>
          <w:p w14:paraId="76A444B1"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single" w:sz="4" w:space="0" w:color="auto"/>
              <w:left w:val="nil"/>
              <w:bottom w:val="nil"/>
              <w:right w:val="nil"/>
            </w:tcBorders>
            <w:shd w:val="clear" w:color="auto" w:fill="auto"/>
            <w:noWrap/>
            <w:vAlign w:val="bottom"/>
            <w:hideMark/>
          </w:tcPr>
          <w:p w14:paraId="16EC2E38"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2010</w:t>
            </w:r>
          </w:p>
        </w:tc>
        <w:tc>
          <w:tcPr>
            <w:tcW w:w="1224" w:type="dxa"/>
            <w:tcBorders>
              <w:top w:val="single" w:sz="4" w:space="0" w:color="auto"/>
              <w:left w:val="nil"/>
              <w:bottom w:val="nil"/>
              <w:right w:val="nil"/>
            </w:tcBorders>
            <w:shd w:val="clear" w:color="auto" w:fill="auto"/>
            <w:noWrap/>
            <w:vAlign w:val="bottom"/>
            <w:hideMark/>
          </w:tcPr>
          <w:p w14:paraId="7DB5CDD1"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2012</w:t>
            </w:r>
          </w:p>
        </w:tc>
        <w:tc>
          <w:tcPr>
            <w:tcW w:w="1235" w:type="dxa"/>
            <w:tcBorders>
              <w:top w:val="single" w:sz="4" w:space="0" w:color="auto"/>
              <w:left w:val="nil"/>
              <w:bottom w:val="nil"/>
              <w:right w:val="nil"/>
            </w:tcBorders>
            <w:shd w:val="clear" w:color="auto" w:fill="auto"/>
            <w:noWrap/>
            <w:vAlign w:val="bottom"/>
            <w:hideMark/>
          </w:tcPr>
          <w:p w14:paraId="42A5C2F6"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2015</w:t>
            </w:r>
          </w:p>
        </w:tc>
      </w:tr>
      <w:tr w:rsidR="005F3939" w:rsidRPr="005F3939" w14:paraId="78A6D2DD" w14:textId="77777777" w:rsidTr="005F3939">
        <w:trPr>
          <w:trHeight w:val="227"/>
        </w:trPr>
        <w:tc>
          <w:tcPr>
            <w:tcW w:w="1300" w:type="dxa"/>
            <w:tcBorders>
              <w:top w:val="nil"/>
              <w:left w:val="nil"/>
              <w:bottom w:val="single" w:sz="4" w:space="0" w:color="auto"/>
              <w:right w:val="nil"/>
            </w:tcBorders>
            <w:shd w:val="clear" w:color="auto" w:fill="auto"/>
            <w:noWrap/>
            <w:vAlign w:val="bottom"/>
            <w:hideMark/>
          </w:tcPr>
          <w:p w14:paraId="4FA21071"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 </w:t>
            </w:r>
          </w:p>
        </w:tc>
        <w:tc>
          <w:tcPr>
            <w:tcW w:w="621" w:type="dxa"/>
            <w:tcBorders>
              <w:top w:val="nil"/>
              <w:left w:val="nil"/>
              <w:bottom w:val="single" w:sz="4" w:space="0" w:color="auto"/>
              <w:right w:val="nil"/>
            </w:tcBorders>
            <w:shd w:val="clear" w:color="auto" w:fill="auto"/>
            <w:noWrap/>
            <w:vAlign w:val="bottom"/>
            <w:hideMark/>
          </w:tcPr>
          <w:p w14:paraId="175DA914"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verot</w:t>
            </w:r>
          </w:p>
        </w:tc>
        <w:tc>
          <w:tcPr>
            <w:tcW w:w="1224" w:type="dxa"/>
            <w:tcBorders>
              <w:top w:val="nil"/>
              <w:left w:val="nil"/>
              <w:bottom w:val="single" w:sz="4" w:space="0" w:color="auto"/>
              <w:right w:val="nil"/>
            </w:tcBorders>
            <w:shd w:val="clear" w:color="auto" w:fill="auto"/>
            <w:noWrap/>
            <w:vAlign w:val="bottom"/>
            <w:hideMark/>
          </w:tcPr>
          <w:p w14:paraId="7F2C189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korotukset</w:t>
            </w:r>
          </w:p>
        </w:tc>
        <w:tc>
          <w:tcPr>
            <w:tcW w:w="1235" w:type="dxa"/>
            <w:tcBorders>
              <w:top w:val="nil"/>
              <w:left w:val="nil"/>
              <w:bottom w:val="single" w:sz="4" w:space="0" w:color="auto"/>
              <w:right w:val="nil"/>
            </w:tcBorders>
            <w:shd w:val="clear" w:color="auto" w:fill="auto"/>
            <w:noWrap/>
            <w:vAlign w:val="bottom"/>
            <w:hideMark/>
          </w:tcPr>
          <w:p w14:paraId="59B7444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lisäkorotus</w:t>
            </w:r>
          </w:p>
        </w:tc>
        <w:tc>
          <w:tcPr>
            <w:tcW w:w="480" w:type="dxa"/>
            <w:tcBorders>
              <w:top w:val="nil"/>
              <w:left w:val="nil"/>
              <w:bottom w:val="single" w:sz="4" w:space="0" w:color="auto"/>
              <w:right w:val="nil"/>
            </w:tcBorders>
            <w:shd w:val="clear" w:color="auto" w:fill="auto"/>
            <w:noWrap/>
            <w:vAlign w:val="bottom"/>
            <w:hideMark/>
          </w:tcPr>
          <w:p w14:paraId="66C303EC"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 </w:t>
            </w:r>
          </w:p>
        </w:tc>
        <w:tc>
          <w:tcPr>
            <w:tcW w:w="621" w:type="dxa"/>
            <w:tcBorders>
              <w:top w:val="nil"/>
              <w:left w:val="nil"/>
              <w:bottom w:val="single" w:sz="4" w:space="0" w:color="auto"/>
              <w:right w:val="nil"/>
            </w:tcBorders>
            <w:shd w:val="clear" w:color="auto" w:fill="auto"/>
            <w:noWrap/>
            <w:vAlign w:val="bottom"/>
            <w:hideMark/>
          </w:tcPr>
          <w:p w14:paraId="627A7469"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verot</w:t>
            </w:r>
          </w:p>
        </w:tc>
        <w:tc>
          <w:tcPr>
            <w:tcW w:w="1224" w:type="dxa"/>
            <w:tcBorders>
              <w:top w:val="nil"/>
              <w:left w:val="nil"/>
              <w:bottom w:val="single" w:sz="4" w:space="0" w:color="auto"/>
              <w:right w:val="nil"/>
            </w:tcBorders>
            <w:shd w:val="clear" w:color="auto" w:fill="auto"/>
            <w:noWrap/>
            <w:vAlign w:val="bottom"/>
            <w:hideMark/>
          </w:tcPr>
          <w:p w14:paraId="0ED0CDC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korotukset</w:t>
            </w:r>
          </w:p>
        </w:tc>
        <w:tc>
          <w:tcPr>
            <w:tcW w:w="1235" w:type="dxa"/>
            <w:tcBorders>
              <w:top w:val="nil"/>
              <w:left w:val="nil"/>
              <w:bottom w:val="single" w:sz="4" w:space="0" w:color="auto"/>
              <w:right w:val="nil"/>
            </w:tcBorders>
            <w:shd w:val="clear" w:color="auto" w:fill="auto"/>
            <w:noWrap/>
            <w:vAlign w:val="bottom"/>
            <w:hideMark/>
          </w:tcPr>
          <w:p w14:paraId="7B72A81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lisäkorotus</w:t>
            </w:r>
          </w:p>
        </w:tc>
      </w:tr>
      <w:tr w:rsidR="005F3939" w:rsidRPr="005F3939" w14:paraId="76F61740" w14:textId="77777777" w:rsidTr="005F3939">
        <w:trPr>
          <w:trHeight w:val="227"/>
        </w:trPr>
        <w:tc>
          <w:tcPr>
            <w:tcW w:w="1300" w:type="dxa"/>
            <w:tcBorders>
              <w:top w:val="nil"/>
              <w:left w:val="nil"/>
              <w:bottom w:val="nil"/>
              <w:right w:val="nil"/>
            </w:tcBorders>
            <w:shd w:val="clear" w:color="auto" w:fill="auto"/>
            <w:noWrap/>
            <w:vAlign w:val="bottom"/>
            <w:hideMark/>
          </w:tcPr>
          <w:p w14:paraId="32F47321"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Keskimäärin</w:t>
            </w:r>
          </w:p>
        </w:tc>
        <w:tc>
          <w:tcPr>
            <w:tcW w:w="621" w:type="dxa"/>
            <w:tcBorders>
              <w:top w:val="nil"/>
              <w:left w:val="nil"/>
              <w:bottom w:val="nil"/>
              <w:right w:val="nil"/>
            </w:tcBorders>
            <w:shd w:val="clear" w:color="auto" w:fill="auto"/>
            <w:noWrap/>
            <w:vAlign w:val="bottom"/>
            <w:hideMark/>
          </w:tcPr>
          <w:p w14:paraId="66F182C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2,50</w:t>
            </w:r>
          </w:p>
        </w:tc>
        <w:tc>
          <w:tcPr>
            <w:tcW w:w="1224" w:type="dxa"/>
            <w:tcBorders>
              <w:top w:val="nil"/>
              <w:left w:val="nil"/>
              <w:bottom w:val="nil"/>
              <w:right w:val="nil"/>
            </w:tcBorders>
            <w:shd w:val="clear" w:color="auto" w:fill="auto"/>
            <w:noWrap/>
            <w:vAlign w:val="bottom"/>
            <w:hideMark/>
          </w:tcPr>
          <w:p w14:paraId="5A337C5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0,58</w:t>
            </w:r>
          </w:p>
        </w:tc>
        <w:tc>
          <w:tcPr>
            <w:tcW w:w="1235" w:type="dxa"/>
            <w:tcBorders>
              <w:top w:val="nil"/>
              <w:left w:val="nil"/>
              <w:bottom w:val="nil"/>
              <w:right w:val="nil"/>
            </w:tcBorders>
            <w:shd w:val="clear" w:color="auto" w:fill="auto"/>
            <w:noWrap/>
            <w:vAlign w:val="bottom"/>
            <w:hideMark/>
          </w:tcPr>
          <w:p w14:paraId="0436D4B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0,14</w:t>
            </w:r>
          </w:p>
        </w:tc>
        <w:tc>
          <w:tcPr>
            <w:tcW w:w="480" w:type="dxa"/>
            <w:tcBorders>
              <w:top w:val="nil"/>
              <w:left w:val="nil"/>
              <w:bottom w:val="nil"/>
              <w:right w:val="nil"/>
            </w:tcBorders>
            <w:shd w:val="clear" w:color="auto" w:fill="auto"/>
            <w:noWrap/>
            <w:vAlign w:val="bottom"/>
            <w:hideMark/>
          </w:tcPr>
          <w:p w14:paraId="468BAE59"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77AC70C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1,84</w:t>
            </w:r>
          </w:p>
        </w:tc>
        <w:tc>
          <w:tcPr>
            <w:tcW w:w="1224" w:type="dxa"/>
            <w:tcBorders>
              <w:top w:val="nil"/>
              <w:left w:val="nil"/>
              <w:bottom w:val="nil"/>
              <w:right w:val="nil"/>
            </w:tcBorders>
            <w:shd w:val="clear" w:color="auto" w:fill="auto"/>
            <w:noWrap/>
            <w:vAlign w:val="bottom"/>
            <w:hideMark/>
          </w:tcPr>
          <w:p w14:paraId="2D70A54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0,37</w:t>
            </w:r>
          </w:p>
        </w:tc>
        <w:tc>
          <w:tcPr>
            <w:tcW w:w="1235" w:type="dxa"/>
            <w:tcBorders>
              <w:top w:val="nil"/>
              <w:left w:val="nil"/>
              <w:bottom w:val="nil"/>
              <w:right w:val="nil"/>
            </w:tcBorders>
            <w:shd w:val="clear" w:color="auto" w:fill="auto"/>
            <w:noWrap/>
            <w:vAlign w:val="bottom"/>
            <w:hideMark/>
          </w:tcPr>
          <w:p w14:paraId="5581FDE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0,09</w:t>
            </w:r>
          </w:p>
        </w:tc>
      </w:tr>
      <w:tr w:rsidR="005F3939" w:rsidRPr="005F3939" w14:paraId="5B7DE1F2" w14:textId="77777777" w:rsidTr="005F3939">
        <w:trPr>
          <w:trHeight w:val="227"/>
        </w:trPr>
        <w:tc>
          <w:tcPr>
            <w:tcW w:w="1300" w:type="dxa"/>
            <w:tcBorders>
              <w:top w:val="nil"/>
              <w:left w:val="nil"/>
              <w:bottom w:val="nil"/>
              <w:right w:val="nil"/>
            </w:tcBorders>
            <w:shd w:val="clear" w:color="auto" w:fill="auto"/>
            <w:noWrap/>
            <w:vAlign w:val="bottom"/>
            <w:hideMark/>
          </w:tcPr>
          <w:p w14:paraId="59E6E304"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1. desiili</w:t>
            </w:r>
          </w:p>
        </w:tc>
        <w:tc>
          <w:tcPr>
            <w:tcW w:w="621" w:type="dxa"/>
            <w:tcBorders>
              <w:top w:val="nil"/>
              <w:left w:val="nil"/>
              <w:bottom w:val="nil"/>
              <w:right w:val="nil"/>
            </w:tcBorders>
            <w:shd w:val="clear" w:color="auto" w:fill="auto"/>
            <w:noWrap/>
            <w:vAlign w:val="bottom"/>
            <w:hideMark/>
          </w:tcPr>
          <w:p w14:paraId="099FF888"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3,51</w:t>
            </w:r>
          </w:p>
        </w:tc>
        <w:tc>
          <w:tcPr>
            <w:tcW w:w="1224" w:type="dxa"/>
            <w:tcBorders>
              <w:top w:val="nil"/>
              <w:left w:val="nil"/>
              <w:bottom w:val="nil"/>
              <w:right w:val="nil"/>
            </w:tcBorders>
            <w:shd w:val="clear" w:color="auto" w:fill="auto"/>
            <w:noWrap/>
            <w:vAlign w:val="bottom"/>
            <w:hideMark/>
          </w:tcPr>
          <w:p w14:paraId="590E3858"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1,01</w:t>
            </w:r>
          </w:p>
        </w:tc>
        <w:tc>
          <w:tcPr>
            <w:tcW w:w="1235" w:type="dxa"/>
            <w:tcBorders>
              <w:top w:val="nil"/>
              <w:left w:val="nil"/>
              <w:bottom w:val="nil"/>
              <w:right w:val="nil"/>
            </w:tcBorders>
            <w:shd w:val="clear" w:color="auto" w:fill="auto"/>
            <w:noWrap/>
            <w:vAlign w:val="bottom"/>
            <w:hideMark/>
          </w:tcPr>
          <w:p w14:paraId="119477F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0,26</w:t>
            </w:r>
          </w:p>
        </w:tc>
        <w:tc>
          <w:tcPr>
            <w:tcW w:w="480" w:type="dxa"/>
            <w:tcBorders>
              <w:top w:val="nil"/>
              <w:left w:val="nil"/>
              <w:bottom w:val="nil"/>
              <w:right w:val="nil"/>
            </w:tcBorders>
            <w:shd w:val="clear" w:color="auto" w:fill="auto"/>
            <w:noWrap/>
            <w:vAlign w:val="bottom"/>
            <w:hideMark/>
          </w:tcPr>
          <w:p w14:paraId="07CBED98"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35669B0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2,45</w:t>
            </w:r>
          </w:p>
        </w:tc>
        <w:tc>
          <w:tcPr>
            <w:tcW w:w="1224" w:type="dxa"/>
            <w:tcBorders>
              <w:top w:val="nil"/>
              <w:left w:val="nil"/>
              <w:bottom w:val="nil"/>
              <w:right w:val="nil"/>
            </w:tcBorders>
            <w:shd w:val="clear" w:color="auto" w:fill="auto"/>
            <w:noWrap/>
            <w:vAlign w:val="bottom"/>
            <w:hideMark/>
          </w:tcPr>
          <w:p w14:paraId="3C5698A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0,66</w:t>
            </w:r>
          </w:p>
        </w:tc>
        <w:tc>
          <w:tcPr>
            <w:tcW w:w="1235" w:type="dxa"/>
            <w:tcBorders>
              <w:top w:val="nil"/>
              <w:left w:val="nil"/>
              <w:bottom w:val="nil"/>
              <w:right w:val="nil"/>
            </w:tcBorders>
            <w:shd w:val="clear" w:color="auto" w:fill="auto"/>
            <w:noWrap/>
            <w:vAlign w:val="bottom"/>
            <w:hideMark/>
          </w:tcPr>
          <w:p w14:paraId="612B76E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0,18</w:t>
            </w:r>
          </w:p>
        </w:tc>
      </w:tr>
      <w:tr w:rsidR="005F3939" w:rsidRPr="005F3939" w14:paraId="5DD13C5F" w14:textId="77777777" w:rsidTr="005F3939">
        <w:trPr>
          <w:trHeight w:val="227"/>
        </w:trPr>
        <w:tc>
          <w:tcPr>
            <w:tcW w:w="1300" w:type="dxa"/>
            <w:tcBorders>
              <w:top w:val="nil"/>
              <w:left w:val="nil"/>
              <w:bottom w:val="nil"/>
              <w:right w:val="nil"/>
            </w:tcBorders>
            <w:shd w:val="clear" w:color="auto" w:fill="auto"/>
            <w:noWrap/>
            <w:vAlign w:val="bottom"/>
            <w:hideMark/>
          </w:tcPr>
          <w:p w14:paraId="0751F32F"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2. desiili</w:t>
            </w:r>
          </w:p>
        </w:tc>
        <w:tc>
          <w:tcPr>
            <w:tcW w:w="621" w:type="dxa"/>
            <w:tcBorders>
              <w:top w:val="nil"/>
              <w:left w:val="nil"/>
              <w:bottom w:val="nil"/>
              <w:right w:val="nil"/>
            </w:tcBorders>
            <w:shd w:val="clear" w:color="auto" w:fill="auto"/>
            <w:noWrap/>
            <w:vAlign w:val="bottom"/>
            <w:hideMark/>
          </w:tcPr>
          <w:p w14:paraId="6DEB059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3,06</w:t>
            </w:r>
          </w:p>
        </w:tc>
        <w:tc>
          <w:tcPr>
            <w:tcW w:w="1224" w:type="dxa"/>
            <w:tcBorders>
              <w:top w:val="nil"/>
              <w:left w:val="nil"/>
              <w:bottom w:val="nil"/>
              <w:right w:val="nil"/>
            </w:tcBorders>
            <w:shd w:val="clear" w:color="auto" w:fill="auto"/>
            <w:noWrap/>
            <w:vAlign w:val="bottom"/>
            <w:hideMark/>
          </w:tcPr>
          <w:p w14:paraId="6C43A3C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0,79</w:t>
            </w:r>
          </w:p>
        </w:tc>
        <w:tc>
          <w:tcPr>
            <w:tcW w:w="1235" w:type="dxa"/>
            <w:tcBorders>
              <w:top w:val="nil"/>
              <w:left w:val="nil"/>
              <w:bottom w:val="nil"/>
              <w:right w:val="nil"/>
            </w:tcBorders>
            <w:shd w:val="clear" w:color="auto" w:fill="auto"/>
            <w:noWrap/>
            <w:vAlign w:val="bottom"/>
            <w:hideMark/>
          </w:tcPr>
          <w:p w14:paraId="79EE6B8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0,19</w:t>
            </w:r>
          </w:p>
        </w:tc>
        <w:tc>
          <w:tcPr>
            <w:tcW w:w="480" w:type="dxa"/>
            <w:tcBorders>
              <w:top w:val="nil"/>
              <w:left w:val="nil"/>
              <w:bottom w:val="nil"/>
              <w:right w:val="nil"/>
            </w:tcBorders>
            <w:shd w:val="clear" w:color="auto" w:fill="auto"/>
            <w:noWrap/>
            <w:vAlign w:val="bottom"/>
            <w:hideMark/>
          </w:tcPr>
          <w:p w14:paraId="4AA0AF81"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1179B30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2,25</w:t>
            </w:r>
          </w:p>
        </w:tc>
        <w:tc>
          <w:tcPr>
            <w:tcW w:w="1224" w:type="dxa"/>
            <w:tcBorders>
              <w:top w:val="nil"/>
              <w:left w:val="nil"/>
              <w:bottom w:val="nil"/>
              <w:right w:val="nil"/>
            </w:tcBorders>
            <w:shd w:val="clear" w:color="auto" w:fill="auto"/>
            <w:noWrap/>
            <w:vAlign w:val="bottom"/>
            <w:hideMark/>
          </w:tcPr>
          <w:p w14:paraId="04D5816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0,52</w:t>
            </w:r>
          </w:p>
        </w:tc>
        <w:tc>
          <w:tcPr>
            <w:tcW w:w="1235" w:type="dxa"/>
            <w:tcBorders>
              <w:top w:val="nil"/>
              <w:left w:val="nil"/>
              <w:bottom w:val="nil"/>
              <w:right w:val="nil"/>
            </w:tcBorders>
            <w:shd w:val="clear" w:color="auto" w:fill="auto"/>
            <w:noWrap/>
            <w:vAlign w:val="bottom"/>
            <w:hideMark/>
          </w:tcPr>
          <w:p w14:paraId="0DD274A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0,13</w:t>
            </w:r>
          </w:p>
        </w:tc>
      </w:tr>
      <w:tr w:rsidR="005F3939" w:rsidRPr="005F3939" w14:paraId="13234E56" w14:textId="77777777" w:rsidTr="005F3939">
        <w:trPr>
          <w:trHeight w:val="227"/>
        </w:trPr>
        <w:tc>
          <w:tcPr>
            <w:tcW w:w="1300" w:type="dxa"/>
            <w:tcBorders>
              <w:top w:val="nil"/>
              <w:left w:val="nil"/>
              <w:bottom w:val="nil"/>
              <w:right w:val="nil"/>
            </w:tcBorders>
            <w:shd w:val="clear" w:color="auto" w:fill="auto"/>
            <w:noWrap/>
            <w:vAlign w:val="bottom"/>
            <w:hideMark/>
          </w:tcPr>
          <w:p w14:paraId="3F05FA54"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3. desiili</w:t>
            </w:r>
          </w:p>
        </w:tc>
        <w:tc>
          <w:tcPr>
            <w:tcW w:w="621" w:type="dxa"/>
            <w:tcBorders>
              <w:top w:val="nil"/>
              <w:left w:val="nil"/>
              <w:bottom w:val="nil"/>
              <w:right w:val="nil"/>
            </w:tcBorders>
            <w:shd w:val="clear" w:color="auto" w:fill="auto"/>
            <w:noWrap/>
            <w:vAlign w:val="bottom"/>
            <w:hideMark/>
          </w:tcPr>
          <w:p w14:paraId="63613EF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3,02</w:t>
            </w:r>
          </w:p>
        </w:tc>
        <w:tc>
          <w:tcPr>
            <w:tcW w:w="1224" w:type="dxa"/>
            <w:tcBorders>
              <w:top w:val="nil"/>
              <w:left w:val="nil"/>
              <w:bottom w:val="nil"/>
              <w:right w:val="nil"/>
            </w:tcBorders>
            <w:shd w:val="clear" w:color="auto" w:fill="auto"/>
            <w:noWrap/>
            <w:vAlign w:val="bottom"/>
            <w:hideMark/>
          </w:tcPr>
          <w:p w14:paraId="24BA148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0,71</w:t>
            </w:r>
          </w:p>
        </w:tc>
        <w:tc>
          <w:tcPr>
            <w:tcW w:w="1235" w:type="dxa"/>
            <w:tcBorders>
              <w:top w:val="nil"/>
              <w:left w:val="nil"/>
              <w:bottom w:val="nil"/>
              <w:right w:val="nil"/>
            </w:tcBorders>
            <w:shd w:val="clear" w:color="auto" w:fill="auto"/>
            <w:noWrap/>
            <w:vAlign w:val="bottom"/>
            <w:hideMark/>
          </w:tcPr>
          <w:p w14:paraId="11B3383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0,18</w:t>
            </w:r>
          </w:p>
        </w:tc>
        <w:tc>
          <w:tcPr>
            <w:tcW w:w="480" w:type="dxa"/>
            <w:tcBorders>
              <w:top w:val="nil"/>
              <w:left w:val="nil"/>
              <w:bottom w:val="nil"/>
              <w:right w:val="nil"/>
            </w:tcBorders>
            <w:shd w:val="clear" w:color="auto" w:fill="auto"/>
            <w:noWrap/>
            <w:vAlign w:val="bottom"/>
            <w:hideMark/>
          </w:tcPr>
          <w:p w14:paraId="23818641"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3B083C6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2,25</w:t>
            </w:r>
          </w:p>
        </w:tc>
        <w:tc>
          <w:tcPr>
            <w:tcW w:w="1224" w:type="dxa"/>
            <w:tcBorders>
              <w:top w:val="nil"/>
              <w:left w:val="nil"/>
              <w:bottom w:val="nil"/>
              <w:right w:val="nil"/>
            </w:tcBorders>
            <w:shd w:val="clear" w:color="auto" w:fill="auto"/>
            <w:noWrap/>
            <w:vAlign w:val="bottom"/>
            <w:hideMark/>
          </w:tcPr>
          <w:p w14:paraId="46017476"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0,46</w:t>
            </w:r>
          </w:p>
        </w:tc>
        <w:tc>
          <w:tcPr>
            <w:tcW w:w="1235" w:type="dxa"/>
            <w:tcBorders>
              <w:top w:val="nil"/>
              <w:left w:val="nil"/>
              <w:bottom w:val="nil"/>
              <w:right w:val="nil"/>
            </w:tcBorders>
            <w:shd w:val="clear" w:color="auto" w:fill="auto"/>
            <w:noWrap/>
            <w:vAlign w:val="bottom"/>
            <w:hideMark/>
          </w:tcPr>
          <w:p w14:paraId="40DDAC2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0,12</w:t>
            </w:r>
          </w:p>
        </w:tc>
      </w:tr>
      <w:tr w:rsidR="005F3939" w:rsidRPr="005F3939" w14:paraId="2FF4CD1A" w14:textId="77777777" w:rsidTr="005F3939">
        <w:trPr>
          <w:trHeight w:val="227"/>
        </w:trPr>
        <w:tc>
          <w:tcPr>
            <w:tcW w:w="1300" w:type="dxa"/>
            <w:tcBorders>
              <w:top w:val="nil"/>
              <w:left w:val="nil"/>
              <w:bottom w:val="nil"/>
              <w:right w:val="nil"/>
            </w:tcBorders>
            <w:shd w:val="clear" w:color="auto" w:fill="auto"/>
            <w:noWrap/>
            <w:vAlign w:val="bottom"/>
            <w:hideMark/>
          </w:tcPr>
          <w:p w14:paraId="4C80E2C1"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4. desiili</w:t>
            </w:r>
          </w:p>
        </w:tc>
        <w:tc>
          <w:tcPr>
            <w:tcW w:w="621" w:type="dxa"/>
            <w:tcBorders>
              <w:top w:val="nil"/>
              <w:left w:val="nil"/>
              <w:bottom w:val="nil"/>
              <w:right w:val="nil"/>
            </w:tcBorders>
            <w:shd w:val="clear" w:color="auto" w:fill="auto"/>
            <w:noWrap/>
            <w:vAlign w:val="bottom"/>
            <w:hideMark/>
          </w:tcPr>
          <w:p w14:paraId="0787D1B8"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2,93</w:t>
            </w:r>
          </w:p>
        </w:tc>
        <w:tc>
          <w:tcPr>
            <w:tcW w:w="1224" w:type="dxa"/>
            <w:tcBorders>
              <w:top w:val="nil"/>
              <w:left w:val="nil"/>
              <w:bottom w:val="nil"/>
              <w:right w:val="nil"/>
            </w:tcBorders>
            <w:shd w:val="clear" w:color="auto" w:fill="auto"/>
            <w:noWrap/>
            <w:vAlign w:val="bottom"/>
            <w:hideMark/>
          </w:tcPr>
          <w:p w14:paraId="00853DE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0,70</w:t>
            </w:r>
          </w:p>
        </w:tc>
        <w:tc>
          <w:tcPr>
            <w:tcW w:w="1235" w:type="dxa"/>
            <w:tcBorders>
              <w:top w:val="nil"/>
              <w:left w:val="nil"/>
              <w:bottom w:val="nil"/>
              <w:right w:val="nil"/>
            </w:tcBorders>
            <w:shd w:val="clear" w:color="auto" w:fill="auto"/>
            <w:noWrap/>
            <w:vAlign w:val="bottom"/>
            <w:hideMark/>
          </w:tcPr>
          <w:p w14:paraId="12A3F03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0,17</w:t>
            </w:r>
          </w:p>
        </w:tc>
        <w:tc>
          <w:tcPr>
            <w:tcW w:w="480" w:type="dxa"/>
            <w:tcBorders>
              <w:top w:val="nil"/>
              <w:left w:val="nil"/>
              <w:bottom w:val="nil"/>
              <w:right w:val="nil"/>
            </w:tcBorders>
            <w:shd w:val="clear" w:color="auto" w:fill="auto"/>
            <w:noWrap/>
            <w:vAlign w:val="bottom"/>
            <w:hideMark/>
          </w:tcPr>
          <w:p w14:paraId="3643B4D8"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5E7D844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2,20</w:t>
            </w:r>
          </w:p>
        </w:tc>
        <w:tc>
          <w:tcPr>
            <w:tcW w:w="1224" w:type="dxa"/>
            <w:tcBorders>
              <w:top w:val="nil"/>
              <w:left w:val="nil"/>
              <w:bottom w:val="nil"/>
              <w:right w:val="nil"/>
            </w:tcBorders>
            <w:shd w:val="clear" w:color="auto" w:fill="auto"/>
            <w:noWrap/>
            <w:vAlign w:val="bottom"/>
            <w:hideMark/>
          </w:tcPr>
          <w:p w14:paraId="10490DDC"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0,45</w:t>
            </w:r>
          </w:p>
        </w:tc>
        <w:tc>
          <w:tcPr>
            <w:tcW w:w="1235" w:type="dxa"/>
            <w:tcBorders>
              <w:top w:val="nil"/>
              <w:left w:val="nil"/>
              <w:bottom w:val="nil"/>
              <w:right w:val="nil"/>
            </w:tcBorders>
            <w:shd w:val="clear" w:color="auto" w:fill="auto"/>
            <w:noWrap/>
            <w:vAlign w:val="bottom"/>
            <w:hideMark/>
          </w:tcPr>
          <w:p w14:paraId="5DA577E1"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0,11</w:t>
            </w:r>
          </w:p>
        </w:tc>
      </w:tr>
      <w:tr w:rsidR="005F3939" w:rsidRPr="005F3939" w14:paraId="1A7CB046" w14:textId="77777777" w:rsidTr="005F3939">
        <w:trPr>
          <w:trHeight w:val="227"/>
        </w:trPr>
        <w:tc>
          <w:tcPr>
            <w:tcW w:w="1300" w:type="dxa"/>
            <w:tcBorders>
              <w:top w:val="nil"/>
              <w:left w:val="nil"/>
              <w:bottom w:val="nil"/>
              <w:right w:val="nil"/>
            </w:tcBorders>
            <w:shd w:val="clear" w:color="auto" w:fill="auto"/>
            <w:noWrap/>
            <w:vAlign w:val="bottom"/>
            <w:hideMark/>
          </w:tcPr>
          <w:p w14:paraId="5D6D3A88"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5. desiili</w:t>
            </w:r>
          </w:p>
        </w:tc>
        <w:tc>
          <w:tcPr>
            <w:tcW w:w="621" w:type="dxa"/>
            <w:tcBorders>
              <w:top w:val="nil"/>
              <w:left w:val="nil"/>
              <w:bottom w:val="nil"/>
              <w:right w:val="nil"/>
            </w:tcBorders>
            <w:shd w:val="clear" w:color="auto" w:fill="auto"/>
            <w:noWrap/>
            <w:vAlign w:val="bottom"/>
            <w:hideMark/>
          </w:tcPr>
          <w:p w14:paraId="426B565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2,79</w:t>
            </w:r>
          </w:p>
        </w:tc>
        <w:tc>
          <w:tcPr>
            <w:tcW w:w="1224" w:type="dxa"/>
            <w:tcBorders>
              <w:top w:val="nil"/>
              <w:left w:val="nil"/>
              <w:bottom w:val="nil"/>
              <w:right w:val="nil"/>
            </w:tcBorders>
            <w:shd w:val="clear" w:color="auto" w:fill="auto"/>
            <w:noWrap/>
            <w:vAlign w:val="bottom"/>
            <w:hideMark/>
          </w:tcPr>
          <w:p w14:paraId="2ADB0BE9"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0,65</w:t>
            </w:r>
          </w:p>
        </w:tc>
        <w:tc>
          <w:tcPr>
            <w:tcW w:w="1235" w:type="dxa"/>
            <w:tcBorders>
              <w:top w:val="nil"/>
              <w:left w:val="nil"/>
              <w:bottom w:val="nil"/>
              <w:right w:val="nil"/>
            </w:tcBorders>
            <w:shd w:val="clear" w:color="auto" w:fill="auto"/>
            <w:noWrap/>
            <w:vAlign w:val="bottom"/>
            <w:hideMark/>
          </w:tcPr>
          <w:p w14:paraId="3064C31C"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0,16</w:t>
            </w:r>
          </w:p>
        </w:tc>
        <w:tc>
          <w:tcPr>
            <w:tcW w:w="480" w:type="dxa"/>
            <w:tcBorders>
              <w:top w:val="nil"/>
              <w:left w:val="nil"/>
              <w:bottom w:val="nil"/>
              <w:right w:val="nil"/>
            </w:tcBorders>
            <w:shd w:val="clear" w:color="auto" w:fill="auto"/>
            <w:noWrap/>
            <w:vAlign w:val="bottom"/>
            <w:hideMark/>
          </w:tcPr>
          <w:p w14:paraId="249DDE5E"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576883C7"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2,07</w:t>
            </w:r>
          </w:p>
        </w:tc>
        <w:tc>
          <w:tcPr>
            <w:tcW w:w="1224" w:type="dxa"/>
            <w:tcBorders>
              <w:top w:val="nil"/>
              <w:left w:val="nil"/>
              <w:bottom w:val="nil"/>
              <w:right w:val="nil"/>
            </w:tcBorders>
            <w:shd w:val="clear" w:color="auto" w:fill="auto"/>
            <w:noWrap/>
            <w:vAlign w:val="bottom"/>
            <w:hideMark/>
          </w:tcPr>
          <w:p w14:paraId="5F945C02"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0,41</w:t>
            </w:r>
          </w:p>
        </w:tc>
        <w:tc>
          <w:tcPr>
            <w:tcW w:w="1235" w:type="dxa"/>
            <w:tcBorders>
              <w:top w:val="nil"/>
              <w:left w:val="nil"/>
              <w:bottom w:val="nil"/>
              <w:right w:val="nil"/>
            </w:tcBorders>
            <w:shd w:val="clear" w:color="auto" w:fill="auto"/>
            <w:noWrap/>
            <w:vAlign w:val="bottom"/>
            <w:hideMark/>
          </w:tcPr>
          <w:p w14:paraId="599A9616"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0,10</w:t>
            </w:r>
          </w:p>
        </w:tc>
      </w:tr>
      <w:tr w:rsidR="005F3939" w:rsidRPr="005F3939" w14:paraId="35AE6299" w14:textId="77777777" w:rsidTr="005F3939">
        <w:trPr>
          <w:trHeight w:val="227"/>
        </w:trPr>
        <w:tc>
          <w:tcPr>
            <w:tcW w:w="1300" w:type="dxa"/>
            <w:tcBorders>
              <w:top w:val="nil"/>
              <w:left w:val="nil"/>
              <w:bottom w:val="nil"/>
              <w:right w:val="nil"/>
            </w:tcBorders>
            <w:shd w:val="clear" w:color="auto" w:fill="auto"/>
            <w:noWrap/>
            <w:vAlign w:val="bottom"/>
            <w:hideMark/>
          </w:tcPr>
          <w:p w14:paraId="3C831E95"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6. desiili</w:t>
            </w:r>
          </w:p>
        </w:tc>
        <w:tc>
          <w:tcPr>
            <w:tcW w:w="621" w:type="dxa"/>
            <w:tcBorders>
              <w:top w:val="nil"/>
              <w:left w:val="nil"/>
              <w:bottom w:val="nil"/>
              <w:right w:val="nil"/>
            </w:tcBorders>
            <w:shd w:val="clear" w:color="auto" w:fill="auto"/>
            <w:noWrap/>
            <w:vAlign w:val="bottom"/>
            <w:hideMark/>
          </w:tcPr>
          <w:p w14:paraId="0D3919F7"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2,71</w:t>
            </w:r>
          </w:p>
        </w:tc>
        <w:tc>
          <w:tcPr>
            <w:tcW w:w="1224" w:type="dxa"/>
            <w:tcBorders>
              <w:top w:val="nil"/>
              <w:left w:val="nil"/>
              <w:bottom w:val="nil"/>
              <w:right w:val="nil"/>
            </w:tcBorders>
            <w:shd w:val="clear" w:color="auto" w:fill="auto"/>
            <w:noWrap/>
            <w:vAlign w:val="bottom"/>
            <w:hideMark/>
          </w:tcPr>
          <w:p w14:paraId="62A5D86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0,62</w:t>
            </w:r>
          </w:p>
        </w:tc>
        <w:tc>
          <w:tcPr>
            <w:tcW w:w="1235" w:type="dxa"/>
            <w:tcBorders>
              <w:top w:val="nil"/>
              <w:left w:val="nil"/>
              <w:bottom w:val="nil"/>
              <w:right w:val="nil"/>
            </w:tcBorders>
            <w:shd w:val="clear" w:color="auto" w:fill="auto"/>
            <w:noWrap/>
            <w:vAlign w:val="bottom"/>
            <w:hideMark/>
          </w:tcPr>
          <w:p w14:paraId="0F6C69D9"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0,14</w:t>
            </w:r>
          </w:p>
        </w:tc>
        <w:tc>
          <w:tcPr>
            <w:tcW w:w="480" w:type="dxa"/>
            <w:tcBorders>
              <w:top w:val="nil"/>
              <w:left w:val="nil"/>
              <w:bottom w:val="nil"/>
              <w:right w:val="nil"/>
            </w:tcBorders>
            <w:shd w:val="clear" w:color="auto" w:fill="auto"/>
            <w:noWrap/>
            <w:vAlign w:val="bottom"/>
            <w:hideMark/>
          </w:tcPr>
          <w:p w14:paraId="4D256FAA"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3039B1B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2,02</w:t>
            </w:r>
          </w:p>
        </w:tc>
        <w:tc>
          <w:tcPr>
            <w:tcW w:w="1224" w:type="dxa"/>
            <w:tcBorders>
              <w:top w:val="nil"/>
              <w:left w:val="nil"/>
              <w:bottom w:val="nil"/>
              <w:right w:val="nil"/>
            </w:tcBorders>
            <w:shd w:val="clear" w:color="auto" w:fill="auto"/>
            <w:noWrap/>
            <w:vAlign w:val="bottom"/>
            <w:hideMark/>
          </w:tcPr>
          <w:p w14:paraId="30627A1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0,39</w:t>
            </w:r>
          </w:p>
        </w:tc>
        <w:tc>
          <w:tcPr>
            <w:tcW w:w="1235" w:type="dxa"/>
            <w:tcBorders>
              <w:top w:val="nil"/>
              <w:left w:val="nil"/>
              <w:bottom w:val="nil"/>
              <w:right w:val="nil"/>
            </w:tcBorders>
            <w:shd w:val="clear" w:color="auto" w:fill="auto"/>
            <w:noWrap/>
            <w:vAlign w:val="bottom"/>
            <w:hideMark/>
          </w:tcPr>
          <w:p w14:paraId="4CF387D2"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0,09</w:t>
            </w:r>
          </w:p>
        </w:tc>
      </w:tr>
      <w:tr w:rsidR="005F3939" w:rsidRPr="005F3939" w14:paraId="4D8F34CD" w14:textId="77777777" w:rsidTr="005F3939">
        <w:trPr>
          <w:trHeight w:val="227"/>
        </w:trPr>
        <w:tc>
          <w:tcPr>
            <w:tcW w:w="1300" w:type="dxa"/>
            <w:tcBorders>
              <w:top w:val="nil"/>
              <w:left w:val="nil"/>
              <w:bottom w:val="nil"/>
              <w:right w:val="nil"/>
            </w:tcBorders>
            <w:shd w:val="clear" w:color="auto" w:fill="auto"/>
            <w:noWrap/>
            <w:vAlign w:val="bottom"/>
            <w:hideMark/>
          </w:tcPr>
          <w:p w14:paraId="7E096337"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7. desiili</w:t>
            </w:r>
          </w:p>
        </w:tc>
        <w:tc>
          <w:tcPr>
            <w:tcW w:w="621" w:type="dxa"/>
            <w:tcBorders>
              <w:top w:val="nil"/>
              <w:left w:val="nil"/>
              <w:bottom w:val="nil"/>
              <w:right w:val="nil"/>
            </w:tcBorders>
            <w:shd w:val="clear" w:color="auto" w:fill="auto"/>
            <w:noWrap/>
            <w:vAlign w:val="bottom"/>
            <w:hideMark/>
          </w:tcPr>
          <w:p w14:paraId="49303AC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2,64</w:t>
            </w:r>
          </w:p>
        </w:tc>
        <w:tc>
          <w:tcPr>
            <w:tcW w:w="1224" w:type="dxa"/>
            <w:tcBorders>
              <w:top w:val="nil"/>
              <w:left w:val="nil"/>
              <w:bottom w:val="nil"/>
              <w:right w:val="nil"/>
            </w:tcBorders>
            <w:shd w:val="clear" w:color="auto" w:fill="auto"/>
            <w:noWrap/>
            <w:vAlign w:val="bottom"/>
            <w:hideMark/>
          </w:tcPr>
          <w:p w14:paraId="5A4CB432"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0,57</w:t>
            </w:r>
          </w:p>
        </w:tc>
        <w:tc>
          <w:tcPr>
            <w:tcW w:w="1235" w:type="dxa"/>
            <w:tcBorders>
              <w:top w:val="nil"/>
              <w:left w:val="nil"/>
              <w:bottom w:val="nil"/>
              <w:right w:val="nil"/>
            </w:tcBorders>
            <w:shd w:val="clear" w:color="auto" w:fill="auto"/>
            <w:noWrap/>
            <w:vAlign w:val="bottom"/>
            <w:hideMark/>
          </w:tcPr>
          <w:p w14:paraId="4BA9C751"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0,14</w:t>
            </w:r>
          </w:p>
        </w:tc>
        <w:tc>
          <w:tcPr>
            <w:tcW w:w="480" w:type="dxa"/>
            <w:tcBorders>
              <w:top w:val="nil"/>
              <w:left w:val="nil"/>
              <w:bottom w:val="nil"/>
              <w:right w:val="nil"/>
            </w:tcBorders>
            <w:shd w:val="clear" w:color="auto" w:fill="auto"/>
            <w:noWrap/>
            <w:vAlign w:val="bottom"/>
            <w:hideMark/>
          </w:tcPr>
          <w:p w14:paraId="4B505082"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632D5C26"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1,96</w:t>
            </w:r>
          </w:p>
        </w:tc>
        <w:tc>
          <w:tcPr>
            <w:tcW w:w="1224" w:type="dxa"/>
            <w:tcBorders>
              <w:top w:val="nil"/>
              <w:left w:val="nil"/>
              <w:bottom w:val="nil"/>
              <w:right w:val="nil"/>
            </w:tcBorders>
            <w:shd w:val="clear" w:color="auto" w:fill="auto"/>
            <w:noWrap/>
            <w:vAlign w:val="bottom"/>
            <w:hideMark/>
          </w:tcPr>
          <w:p w14:paraId="5E34FE3C"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0,35</w:t>
            </w:r>
          </w:p>
        </w:tc>
        <w:tc>
          <w:tcPr>
            <w:tcW w:w="1235" w:type="dxa"/>
            <w:tcBorders>
              <w:top w:val="nil"/>
              <w:left w:val="nil"/>
              <w:bottom w:val="nil"/>
              <w:right w:val="nil"/>
            </w:tcBorders>
            <w:shd w:val="clear" w:color="auto" w:fill="auto"/>
            <w:noWrap/>
            <w:vAlign w:val="bottom"/>
            <w:hideMark/>
          </w:tcPr>
          <w:p w14:paraId="320A3B3C"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0,09</w:t>
            </w:r>
          </w:p>
        </w:tc>
      </w:tr>
      <w:tr w:rsidR="005F3939" w:rsidRPr="005F3939" w14:paraId="0533EB03" w14:textId="77777777" w:rsidTr="005F3939">
        <w:trPr>
          <w:trHeight w:val="227"/>
        </w:trPr>
        <w:tc>
          <w:tcPr>
            <w:tcW w:w="1300" w:type="dxa"/>
            <w:tcBorders>
              <w:top w:val="nil"/>
              <w:left w:val="nil"/>
              <w:bottom w:val="nil"/>
              <w:right w:val="nil"/>
            </w:tcBorders>
            <w:shd w:val="clear" w:color="auto" w:fill="auto"/>
            <w:noWrap/>
            <w:vAlign w:val="bottom"/>
            <w:hideMark/>
          </w:tcPr>
          <w:p w14:paraId="09E98BAB"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8. desiili</w:t>
            </w:r>
          </w:p>
        </w:tc>
        <w:tc>
          <w:tcPr>
            <w:tcW w:w="621" w:type="dxa"/>
            <w:tcBorders>
              <w:top w:val="nil"/>
              <w:left w:val="nil"/>
              <w:bottom w:val="nil"/>
              <w:right w:val="nil"/>
            </w:tcBorders>
            <w:shd w:val="clear" w:color="auto" w:fill="auto"/>
            <w:noWrap/>
            <w:vAlign w:val="bottom"/>
            <w:hideMark/>
          </w:tcPr>
          <w:p w14:paraId="5F9FE7E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2,48</w:t>
            </w:r>
          </w:p>
        </w:tc>
        <w:tc>
          <w:tcPr>
            <w:tcW w:w="1224" w:type="dxa"/>
            <w:tcBorders>
              <w:top w:val="nil"/>
              <w:left w:val="nil"/>
              <w:bottom w:val="nil"/>
              <w:right w:val="nil"/>
            </w:tcBorders>
            <w:shd w:val="clear" w:color="auto" w:fill="auto"/>
            <w:noWrap/>
            <w:vAlign w:val="bottom"/>
            <w:hideMark/>
          </w:tcPr>
          <w:p w14:paraId="148F6487"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0,53</w:t>
            </w:r>
          </w:p>
        </w:tc>
        <w:tc>
          <w:tcPr>
            <w:tcW w:w="1235" w:type="dxa"/>
            <w:tcBorders>
              <w:top w:val="nil"/>
              <w:left w:val="nil"/>
              <w:bottom w:val="nil"/>
              <w:right w:val="nil"/>
            </w:tcBorders>
            <w:shd w:val="clear" w:color="auto" w:fill="auto"/>
            <w:noWrap/>
            <w:vAlign w:val="bottom"/>
            <w:hideMark/>
          </w:tcPr>
          <w:p w14:paraId="5C1054F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0,13</w:t>
            </w:r>
          </w:p>
        </w:tc>
        <w:tc>
          <w:tcPr>
            <w:tcW w:w="480" w:type="dxa"/>
            <w:tcBorders>
              <w:top w:val="nil"/>
              <w:left w:val="nil"/>
              <w:bottom w:val="nil"/>
              <w:right w:val="nil"/>
            </w:tcBorders>
            <w:shd w:val="clear" w:color="auto" w:fill="auto"/>
            <w:noWrap/>
            <w:vAlign w:val="bottom"/>
            <w:hideMark/>
          </w:tcPr>
          <w:p w14:paraId="7997DA2C"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5199B967"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1,84</w:t>
            </w:r>
          </w:p>
        </w:tc>
        <w:tc>
          <w:tcPr>
            <w:tcW w:w="1224" w:type="dxa"/>
            <w:tcBorders>
              <w:top w:val="nil"/>
              <w:left w:val="nil"/>
              <w:bottom w:val="nil"/>
              <w:right w:val="nil"/>
            </w:tcBorders>
            <w:shd w:val="clear" w:color="auto" w:fill="auto"/>
            <w:noWrap/>
            <w:vAlign w:val="bottom"/>
            <w:hideMark/>
          </w:tcPr>
          <w:p w14:paraId="116A8228"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0,32</w:t>
            </w:r>
          </w:p>
        </w:tc>
        <w:tc>
          <w:tcPr>
            <w:tcW w:w="1235" w:type="dxa"/>
            <w:tcBorders>
              <w:top w:val="nil"/>
              <w:left w:val="nil"/>
              <w:bottom w:val="nil"/>
              <w:right w:val="nil"/>
            </w:tcBorders>
            <w:shd w:val="clear" w:color="auto" w:fill="auto"/>
            <w:noWrap/>
            <w:vAlign w:val="bottom"/>
            <w:hideMark/>
          </w:tcPr>
          <w:p w14:paraId="3E0FF4E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0,08</w:t>
            </w:r>
          </w:p>
        </w:tc>
      </w:tr>
      <w:tr w:rsidR="005F3939" w:rsidRPr="005F3939" w14:paraId="3CE034E8" w14:textId="77777777" w:rsidTr="005F3939">
        <w:trPr>
          <w:trHeight w:val="227"/>
        </w:trPr>
        <w:tc>
          <w:tcPr>
            <w:tcW w:w="1300" w:type="dxa"/>
            <w:tcBorders>
              <w:top w:val="nil"/>
              <w:left w:val="nil"/>
              <w:bottom w:val="nil"/>
              <w:right w:val="nil"/>
            </w:tcBorders>
            <w:shd w:val="clear" w:color="auto" w:fill="auto"/>
            <w:noWrap/>
            <w:vAlign w:val="bottom"/>
            <w:hideMark/>
          </w:tcPr>
          <w:p w14:paraId="33CB8D6F"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9. desiili</w:t>
            </w:r>
          </w:p>
        </w:tc>
        <w:tc>
          <w:tcPr>
            <w:tcW w:w="621" w:type="dxa"/>
            <w:tcBorders>
              <w:top w:val="nil"/>
              <w:left w:val="nil"/>
              <w:bottom w:val="nil"/>
              <w:right w:val="nil"/>
            </w:tcBorders>
            <w:shd w:val="clear" w:color="auto" w:fill="auto"/>
            <w:noWrap/>
            <w:vAlign w:val="bottom"/>
            <w:hideMark/>
          </w:tcPr>
          <w:p w14:paraId="22FDAFC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2,24</w:t>
            </w:r>
          </w:p>
        </w:tc>
        <w:tc>
          <w:tcPr>
            <w:tcW w:w="1224" w:type="dxa"/>
            <w:tcBorders>
              <w:top w:val="nil"/>
              <w:left w:val="nil"/>
              <w:bottom w:val="nil"/>
              <w:right w:val="nil"/>
            </w:tcBorders>
            <w:shd w:val="clear" w:color="auto" w:fill="auto"/>
            <w:noWrap/>
            <w:vAlign w:val="bottom"/>
            <w:hideMark/>
          </w:tcPr>
          <w:p w14:paraId="794CE73D"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0,51</w:t>
            </w:r>
          </w:p>
        </w:tc>
        <w:tc>
          <w:tcPr>
            <w:tcW w:w="1235" w:type="dxa"/>
            <w:tcBorders>
              <w:top w:val="nil"/>
              <w:left w:val="nil"/>
              <w:bottom w:val="nil"/>
              <w:right w:val="nil"/>
            </w:tcBorders>
            <w:shd w:val="clear" w:color="auto" w:fill="auto"/>
            <w:noWrap/>
            <w:vAlign w:val="bottom"/>
            <w:hideMark/>
          </w:tcPr>
          <w:p w14:paraId="165004BA"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0,12</w:t>
            </w:r>
          </w:p>
        </w:tc>
        <w:tc>
          <w:tcPr>
            <w:tcW w:w="480" w:type="dxa"/>
            <w:tcBorders>
              <w:top w:val="nil"/>
              <w:left w:val="nil"/>
              <w:bottom w:val="nil"/>
              <w:right w:val="nil"/>
            </w:tcBorders>
            <w:shd w:val="clear" w:color="auto" w:fill="auto"/>
            <w:noWrap/>
            <w:vAlign w:val="bottom"/>
            <w:hideMark/>
          </w:tcPr>
          <w:p w14:paraId="16D206E6" w14:textId="77777777" w:rsidR="005F3939" w:rsidRPr="005F3939" w:rsidRDefault="005F3939" w:rsidP="005F3939">
            <w:pPr>
              <w:spacing w:after="0" w:line="240" w:lineRule="auto"/>
              <w:jc w:val="center"/>
              <w:rPr>
                <w:rFonts w:eastAsia="Times New Roman" w:cs="Calibri"/>
                <w:color w:val="000000"/>
                <w:lang w:eastAsia="fi-FI"/>
              </w:rPr>
            </w:pPr>
          </w:p>
        </w:tc>
        <w:tc>
          <w:tcPr>
            <w:tcW w:w="621" w:type="dxa"/>
            <w:tcBorders>
              <w:top w:val="nil"/>
              <w:left w:val="nil"/>
              <w:bottom w:val="nil"/>
              <w:right w:val="nil"/>
            </w:tcBorders>
            <w:shd w:val="clear" w:color="auto" w:fill="auto"/>
            <w:noWrap/>
            <w:vAlign w:val="bottom"/>
            <w:hideMark/>
          </w:tcPr>
          <w:p w14:paraId="125F694B"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1,61</w:t>
            </w:r>
          </w:p>
        </w:tc>
        <w:tc>
          <w:tcPr>
            <w:tcW w:w="1224" w:type="dxa"/>
            <w:tcBorders>
              <w:top w:val="nil"/>
              <w:left w:val="nil"/>
              <w:bottom w:val="nil"/>
              <w:right w:val="nil"/>
            </w:tcBorders>
            <w:shd w:val="clear" w:color="auto" w:fill="auto"/>
            <w:noWrap/>
            <w:vAlign w:val="bottom"/>
            <w:hideMark/>
          </w:tcPr>
          <w:p w14:paraId="71571D8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0,31</w:t>
            </w:r>
          </w:p>
        </w:tc>
        <w:tc>
          <w:tcPr>
            <w:tcW w:w="1235" w:type="dxa"/>
            <w:tcBorders>
              <w:top w:val="nil"/>
              <w:left w:val="nil"/>
              <w:bottom w:val="nil"/>
              <w:right w:val="nil"/>
            </w:tcBorders>
            <w:shd w:val="clear" w:color="auto" w:fill="auto"/>
            <w:noWrap/>
            <w:vAlign w:val="bottom"/>
            <w:hideMark/>
          </w:tcPr>
          <w:p w14:paraId="36141E6E"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0,07</w:t>
            </w:r>
          </w:p>
        </w:tc>
      </w:tr>
      <w:tr w:rsidR="005F3939" w:rsidRPr="005F3939" w14:paraId="0C01C972" w14:textId="77777777" w:rsidTr="005F3939">
        <w:trPr>
          <w:trHeight w:val="227"/>
        </w:trPr>
        <w:tc>
          <w:tcPr>
            <w:tcW w:w="1300" w:type="dxa"/>
            <w:tcBorders>
              <w:top w:val="nil"/>
              <w:left w:val="nil"/>
              <w:bottom w:val="single" w:sz="4" w:space="0" w:color="auto"/>
              <w:right w:val="nil"/>
            </w:tcBorders>
            <w:shd w:val="clear" w:color="auto" w:fill="auto"/>
            <w:noWrap/>
            <w:vAlign w:val="bottom"/>
            <w:hideMark/>
          </w:tcPr>
          <w:p w14:paraId="005A850C" w14:textId="77777777" w:rsidR="005F3939" w:rsidRPr="005F3939" w:rsidRDefault="005F3939" w:rsidP="005F3939">
            <w:pPr>
              <w:spacing w:after="0" w:line="240" w:lineRule="auto"/>
              <w:rPr>
                <w:rFonts w:eastAsia="Times New Roman" w:cs="Calibri"/>
                <w:color w:val="000000"/>
                <w:lang w:eastAsia="fi-FI"/>
              </w:rPr>
            </w:pPr>
            <w:r w:rsidRPr="005F3939">
              <w:rPr>
                <w:rFonts w:eastAsia="Times New Roman" w:cs="Calibri"/>
                <w:color w:val="000000"/>
                <w:lang w:eastAsia="fi-FI"/>
              </w:rPr>
              <w:t>10. desiili</w:t>
            </w:r>
          </w:p>
        </w:tc>
        <w:tc>
          <w:tcPr>
            <w:tcW w:w="621" w:type="dxa"/>
            <w:tcBorders>
              <w:top w:val="nil"/>
              <w:left w:val="nil"/>
              <w:bottom w:val="single" w:sz="4" w:space="0" w:color="auto"/>
              <w:right w:val="nil"/>
            </w:tcBorders>
            <w:shd w:val="clear" w:color="auto" w:fill="auto"/>
            <w:noWrap/>
            <w:vAlign w:val="bottom"/>
            <w:hideMark/>
          </w:tcPr>
          <w:p w14:paraId="2BAECBE4"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1,73</w:t>
            </w:r>
          </w:p>
        </w:tc>
        <w:tc>
          <w:tcPr>
            <w:tcW w:w="1224" w:type="dxa"/>
            <w:tcBorders>
              <w:top w:val="nil"/>
              <w:left w:val="nil"/>
              <w:bottom w:val="single" w:sz="4" w:space="0" w:color="auto"/>
              <w:right w:val="nil"/>
            </w:tcBorders>
            <w:shd w:val="clear" w:color="auto" w:fill="auto"/>
            <w:noWrap/>
            <w:vAlign w:val="bottom"/>
            <w:hideMark/>
          </w:tcPr>
          <w:p w14:paraId="6BD0BBF3"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0,41</w:t>
            </w:r>
          </w:p>
        </w:tc>
        <w:tc>
          <w:tcPr>
            <w:tcW w:w="1235" w:type="dxa"/>
            <w:tcBorders>
              <w:top w:val="nil"/>
              <w:left w:val="nil"/>
              <w:bottom w:val="single" w:sz="4" w:space="0" w:color="auto"/>
              <w:right w:val="nil"/>
            </w:tcBorders>
            <w:shd w:val="clear" w:color="auto" w:fill="auto"/>
            <w:noWrap/>
            <w:vAlign w:val="bottom"/>
            <w:hideMark/>
          </w:tcPr>
          <w:p w14:paraId="41C7448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0,09</w:t>
            </w:r>
          </w:p>
        </w:tc>
        <w:tc>
          <w:tcPr>
            <w:tcW w:w="480" w:type="dxa"/>
            <w:tcBorders>
              <w:top w:val="nil"/>
              <w:left w:val="nil"/>
              <w:bottom w:val="single" w:sz="4" w:space="0" w:color="auto"/>
              <w:right w:val="nil"/>
            </w:tcBorders>
            <w:shd w:val="clear" w:color="auto" w:fill="auto"/>
            <w:noWrap/>
            <w:vAlign w:val="bottom"/>
            <w:hideMark/>
          </w:tcPr>
          <w:p w14:paraId="149BB9A5"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 </w:t>
            </w:r>
          </w:p>
        </w:tc>
        <w:tc>
          <w:tcPr>
            <w:tcW w:w="621" w:type="dxa"/>
            <w:tcBorders>
              <w:top w:val="nil"/>
              <w:left w:val="nil"/>
              <w:bottom w:val="single" w:sz="4" w:space="0" w:color="auto"/>
              <w:right w:val="nil"/>
            </w:tcBorders>
            <w:shd w:val="clear" w:color="auto" w:fill="auto"/>
            <w:noWrap/>
            <w:vAlign w:val="bottom"/>
            <w:hideMark/>
          </w:tcPr>
          <w:p w14:paraId="352DABE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1,24</w:t>
            </w:r>
          </w:p>
        </w:tc>
        <w:tc>
          <w:tcPr>
            <w:tcW w:w="1224" w:type="dxa"/>
            <w:tcBorders>
              <w:top w:val="nil"/>
              <w:left w:val="nil"/>
              <w:bottom w:val="single" w:sz="4" w:space="0" w:color="auto"/>
              <w:right w:val="nil"/>
            </w:tcBorders>
            <w:shd w:val="clear" w:color="auto" w:fill="auto"/>
            <w:noWrap/>
            <w:vAlign w:val="bottom"/>
            <w:hideMark/>
          </w:tcPr>
          <w:p w14:paraId="3429C41F"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0,25</w:t>
            </w:r>
          </w:p>
        </w:tc>
        <w:tc>
          <w:tcPr>
            <w:tcW w:w="1235" w:type="dxa"/>
            <w:tcBorders>
              <w:top w:val="nil"/>
              <w:left w:val="nil"/>
              <w:bottom w:val="single" w:sz="4" w:space="0" w:color="auto"/>
              <w:right w:val="nil"/>
            </w:tcBorders>
            <w:shd w:val="clear" w:color="auto" w:fill="auto"/>
            <w:noWrap/>
            <w:vAlign w:val="bottom"/>
            <w:hideMark/>
          </w:tcPr>
          <w:p w14:paraId="41559A00" w14:textId="77777777" w:rsidR="005F3939" w:rsidRPr="005F3939" w:rsidRDefault="005F3939" w:rsidP="005F3939">
            <w:pPr>
              <w:spacing w:after="0" w:line="240" w:lineRule="auto"/>
              <w:jc w:val="center"/>
              <w:rPr>
                <w:rFonts w:eastAsia="Times New Roman" w:cs="Calibri"/>
                <w:color w:val="000000"/>
                <w:lang w:eastAsia="fi-FI"/>
              </w:rPr>
            </w:pPr>
            <w:r w:rsidRPr="005F3939">
              <w:rPr>
                <w:rFonts w:eastAsia="Times New Roman" w:cs="Calibri"/>
                <w:color w:val="000000"/>
                <w:lang w:eastAsia="fi-FI"/>
              </w:rPr>
              <w:t>0,06</w:t>
            </w:r>
          </w:p>
        </w:tc>
      </w:tr>
    </w:tbl>
    <w:p w14:paraId="3B99CCEB" w14:textId="77777777" w:rsidR="005F3939" w:rsidRDefault="005F3939" w:rsidP="000603EB">
      <w:pPr>
        <w:jc w:val="both"/>
        <w:rPr>
          <w:rFonts w:ascii="Times New Roman" w:hAnsi="Times New Roman"/>
          <w:sz w:val="24"/>
          <w:szCs w:val="24"/>
        </w:rPr>
      </w:pPr>
    </w:p>
    <w:p w14:paraId="1657172F" w14:textId="77777777" w:rsidR="00B574B3" w:rsidRDefault="00C74D95" w:rsidP="007C1F10">
      <w:pPr>
        <w:jc w:val="both"/>
        <w:rPr>
          <w:rFonts w:ascii="Times New Roman" w:hAnsi="Times New Roman"/>
          <w:sz w:val="24"/>
          <w:szCs w:val="24"/>
        </w:rPr>
      </w:pPr>
      <w:r>
        <w:rPr>
          <w:rFonts w:ascii="Times New Roman" w:hAnsi="Times New Roman"/>
          <w:noProof/>
          <w:sz w:val="24"/>
          <w:szCs w:val="24"/>
          <w:lang w:eastAsia="fi-FI"/>
        </w:rPr>
        <w:lastRenderedPageBreak/>
        <w:drawing>
          <wp:inline distT="0" distB="0" distL="0" distR="0" wp14:anchorId="49F63D94" wp14:editId="06A53DCC">
            <wp:extent cx="4774565" cy="2835910"/>
            <wp:effectExtent l="0" t="0" r="26035" b="21590"/>
            <wp:docPr id="4" name="Kaavi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212850" w14:textId="77777777" w:rsidR="00B574B3" w:rsidRPr="008F6575" w:rsidRDefault="00B574B3" w:rsidP="009D4E90">
      <w:pPr>
        <w:jc w:val="both"/>
        <w:rPr>
          <w:rFonts w:ascii="Times New Roman" w:hAnsi="Times New Roman"/>
          <w:i/>
          <w:sz w:val="24"/>
          <w:szCs w:val="24"/>
        </w:rPr>
      </w:pPr>
      <w:r w:rsidRPr="008F6575">
        <w:rPr>
          <w:rFonts w:ascii="Times New Roman" w:hAnsi="Times New Roman"/>
          <w:b/>
          <w:i/>
          <w:sz w:val="24"/>
          <w:szCs w:val="24"/>
        </w:rPr>
        <w:t>Kuvio 4.</w:t>
      </w:r>
      <w:r w:rsidRPr="008F6575">
        <w:rPr>
          <w:rFonts w:ascii="Times New Roman" w:hAnsi="Times New Roman"/>
          <w:i/>
          <w:sz w:val="24"/>
          <w:szCs w:val="24"/>
        </w:rPr>
        <w:t xml:space="preserve"> Energiaverojen ja veronkorotusten kustannusvaikutus suhteessa tuloihin tulodesiileittäin, %</w:t>
      </w:r>
    </w:p>
    <w:p w14:paraId="61144E6A" w14:textId="77777777" w:rsidR="007C1F10" w:rsidRPr="005A5CC7" w:rsidRDefault="007C1F10" w:rsidP="007C1F10">
      <w:pPr>
        <w:jc w:val="both"/>
        <w:rPr>
          <w:rFonts w:ascii="Times New Roman" w:hAnsi="Times New Roman"/>
          <w:sz w:val="24"/>
          <w:szCs w:val="24"/>
        </w:rPr>
      </w:pPr>
      <w:r>
        <w:rPr>
          <w:rFonts w:ascii="Times New Roman" w:hAnsi="Times New Roman"/>
          <w:sz w:val="24"/>
          <w:szCs w:val="24"/>
        </w:rPr>
        <w:t>Tuloihin s</w:t>
      </w:r>
      <w:r w:rsidRPr="00130CCC">
        <w:rPr>
          <w:rFonts w:ascii="Times New Roman" w:hAnsi="Times New Roman"/>
          <w:sz w:val="24"/>
          <w:szCs w:val="24"/>
        </w:rPr>
        <w:t xml:space="preserve">uhteutettuna energiaverojen kustannusvaikutus on suurin </w:t>
      </w:r>
      <w:r>
        <w:rPr>
          <w:rFonts w:ascii="Times New Roman" w:hAnsi="Times New Roman"/>
          <w:sz w:val="24"/>
          <w:szCs w:val="24"/>
        </w:rPr>
        <w:t xml:space="preserve">alimmassa tuloluokassa </w:t>
      </w:r>
      <w:r w:rsidRPr="00130CCC">
        <w:rPr>
          <w:rFonts w:ascii="Times New Roman" w:hAnsi="Times New Roman"/>
          <w:sz w:val="24"/>
          <w:szCs w:val="24"/>
        </w:rPr>
        <w:t>ja</w:t>
      </w:r>
      <w:r>
        <w:rPr>
          <w:rFonts w:ascii="Times New Roman" w:hAnsi="Times New Roman"/>
          <w:sz w:val="24"/>
          <w:szCs w:val="24"/>
        </w:rPr>
        <w:t xml:space="preserve"> pienin ylimmässä tuloryhmässä sekä vuoden 2012 korotusten vaikutuksesta että vuoteen 2015</w:t>
      </w:r>
      <w:r w:rsidRPr="00131341">
        <w:rPr>
          <w:rFonts w:ascii="Times New Roman" w:hAnsi="Times New Roman"/>
          <w:sz w:val="24"/>
          <w:szCs w:val="24"/>
        </w:rPr>
        <w:t xml:space="preserve"> </w:t>
      </w:r>
      <w:r>
        <w:rPr>
          <w:rFonts w:ascii="Times New Roman" w:hAnsi="Times New Roman"/>
          <w:sz w:val="24"/>
          <w:szCs w:val="24"/>
        </w:rPr>
        <w:t>mennessä tehdyillä korotuksilla</w:t>
      </w:r>
      <w:r w:rsidRPr="00130CCC">
        <w:rPr>
          <w:rFonts w:ascii="Times New Roman" w:hAnsi="Times New Roman"/>
          <w:sz w:val="24"/>
          <w:szCs w:val="24"/>
        </w:rPr>
        <w:t xml:space="preserve">. </w:t>
      </w:r>
      <w:r>
        <w:rPr>
          <w:rFonts w:ascii="Times New Roman" w:hAnsi="Times New Roman"/>
          <w:sz w:val="24"/>
          <w:szCs w:val="24"/>
        </w:rPr>
        <w:t xml:space="preserve">Kun verovaikutukset suhteutetaan käytettävissä oleviin tuloihin, vaikutukset ovat voimakkaammin regressiivisiä kuin kotitalouksien kulutusmenoihin suhteutettuna. </w:t>
      </w:r>
      <w:r w:rsidRPr="00130CCC">
        <w:rPr>
          <w:rFonts w:ascii="Times New Roman" w:hAnsi="Times New Roman"/>
          <w:sz w:val="24"/>
          <w:szCs w:val="24"/>
        </w:rPr>
        <w:t>Tämä johtuu tulojen ja kulutuksen välisen suhteen muuttumisesta siirryttäessä alemmista ylempiin tuloryhmiin. Kun vuo</w:t>
      </w:r>
      <w:r>
        <w:rPr>
          <w:rFonts w:ascii="Times New Roman" w:hAnsi="Times New Roman"/>
          <w:sz w:val="24"/>
          <w:szCs w:val="24"/>
        </w:rPr>
        <w:t>sien</w:t>
      </w:r>
      <w:r w:rsidRPr="00130CCC">
        <w:rPr>
          <w:rFonts w:ascii="Times New Roman" w:hAnsi="Times New Roman"/>
          <w:sz w:val="24"/>
          <w:szCs w:val="24"/>
        </w:rPr>
        <w:t xml:space="preserve"> 2011</w:t>
      </w:r>
      <w:r>
        <w:rPr>
          <w:rFonts w:ascii="Times New Roman" w:hAnsi="Times New Roman"/>
          <w:sz w:val="24"/>
          <w:szCs w:val="24"/>
        </w:rPr>
        <w:t>, 2012</w:t>
      </w:r>
      <w:r w:rsidRPr="00130CCC">
        <w:rPr>
          <w:rFonts w:ascii="Times New Roman" w:hAnsi="Times New Roman"/>
          <w:sz w:val="24"/>
          <w:szCs w:val="24"/>
        </w:rPr>
        <w:t xml:space="preserve"> veronkorotuks</w:t>
      </w:r>
      <w:r>
        <w:rPr>
          <w:rFonts w:ascii="Times New Roman" w:hAnsi="Times New Roman"/>
          <w:sz w:val="24"/>
          <w:szCs w:val="24"/>
        </w:rPr>
        <w:t>i</w:t>
      </w:r>
      <w:r w:rsidRPr="00130CCC">
        <w:rPr>
          <w:rFonts w:ascii="Times New Roman" w:hAnsi="Times New Roman"/>
          <w:sz w:val="24"/>
          <w:szCs w:val="24"/>
        </w:rPr>
        <w:t>en kustannus</w:t>
      </w:r>
      <w:r>
        <w:rPr>
          <w:rFonts w:ascii="Times New Roman" w:hAnsi="Times New Roman"/>
          <w:sz w:val="24"/>
          <w:szCs w:val="24"/>
        </w:rPr>
        <w:softHyphen/>
      </w:r>
      <w:r w:rsidRPr="00130CCC">
        <w:rPr>
          <w:rFonts w:ascii="Times New Roman" w:hAnsi="Times New Roman"/>
          <w:sz w:val="24"/>
          <w:szCs w:val="24"/>
        </w:rPr>
        <w:t>vaikutuksissa suhteessa kulutus</w:t>
      </w:r>
      <w:r>
        <w:rPr>
          <w:rFonts w:ascii="Times New Roman" w:hAnsi="Times New Roman"/>
          <w:sz w:val="24"/>
          <w:szCs w:val="24"/>
        </w:rPr>
        <w:softHyphen/>
      </w:r>
      <w:r w:rsidRPr="00130CCC">
        <w:rPr>
          <w:rFonts w:ascii="Times New Roman" w:hAnsi="Times New Roman"/>
          <w:sz w:val="24"/>
          <w:szCs w:val="24"/>
        </w:rPr>
        <w:t>menoihin ero suurimman ja pienimmän kustannusvaikutusosuud</w:t>
      </w:r>
      <w:r>
        <w:rPr>
          <w:rFonts w:ascii="Times New Roman" w:hAnsi="Times New Roman"/>
          <w:sz w:val="24"/>
          <w:szCs w:val="24"/>
        </w:rPr>
        <w:t>en välillä taulukossa 2 oli 0,75 - 0,61 = 0,14</w:t>
      </w:r>
      <w:r w:rsidRPr="00130CCC">
        <w:rPr>
          <w:rFonts w:ascii="Times New Roman" w:hAnsi="Times New Roman"/>
          <w:sz w:val="24"/>
          <w:szCs w:val="24"/>
        </w:rPr>
        <w:t xml:space="preserve"> %</w:t>
      </w:r>
      <w:r>
        <w:rPr>
          <w:rFonts w:ascii="Times New Roman" w:hAnsi="Times New Roman"/>
          <w:sz w:val="24"/>
          <w:szCs w:val="24"/>
        </w:rPr>
        <w:t>-yksikköä</w:t>
      </w:r>
      <w:r w:rsidRPr="00130CCC">
        <w:rPr>
          <w:rFonts w:ascii="Times New Roman" w:hAnsi="Times New Roman"/>
          <w:sz w:val="24"/>
          <w:szCs w:val="24"/>
        </w:rPr>
        <w:t>, niin suhte</w:t>
      </w:r>
      <w:r>
        <w:rPr>
          <w:rFonts w:ascii="Times New Roman" w:hAnsi="Times New Roman"/>
          <w:sz w:val="24"/>
          <w:szCs w:val="24"/>
        </w:rPr>
        <w:t>essa tuloihin suurin ero on 1,01</w:t>
      </w:r>
      <w:r w:rsidRPr="00130CCC">
        <w:rPr>
          <w:rFonts w:ascii="Times New Roman" w:hAnsi="Times New Roman"/>
          <w:sz w:val="24"/>
          <w:szCs w:val="24"/>
        </w:rPr>
        <w:t xml:space="preserve"> </w:t>
      </w:r>
      <w:r>
        <w:rPr>
          <w:rFonts w:ascii="Times New Roman" w:hAnsi="Times New Roman"/>
          <w:sz w:val="24"/>
          <w:szCs w:val="24"/>
        </w:rPr>
        <w:t>– 0,41 = 0,60</w:t>
      </w:r>
      <w:r w:rsidRPr="00130CCC">
        <w:rPr>
          <w:rFonts w:ascii="Times New Roman" w:hAnsi="Times New Roman"/>
          <w:sz w:val="24"/>
          <w:szCs w:val="24"/>
        </w:rPr>
        <w:t xml:space="preserve"> %</w:t>
      </w:r>
      <w:r>
        <w:rPr>
          <w:rFonts w:ascii="Times New Roman" w:hAnsi="Times New Roman"/>
          <w:sz w:val="24"/>
          <w:szCs w:val="24"/>
        </w:rPr>
        <w:t>-yksikköä</w:t>
      </w:r>
      <w:r w:rsidRPr="00130CCC">
        <w:rPr>
          <w:rFonts w:ascii="Times New Roman" w:hAnsi="Times New Roman"/>
          <w:sz w:val="24"/>
          <w:szCs w:val="24"/>
        </w:rPr>
        <w:t>. Siten voidaan päätellä, että energiaverojen vaikutus tulojen ostovoimaan ei niinkään</w:t>
      </w:r>
      <w:r>
        <w:rPr>
          <w:rFonts w:ascii="Times New Roman" w:hAnsi="Times New Roman"/>
          <w:sz w:val="24"/>
          <w:szCs w:val="24"/>
        </w:rPr>
        <w:t xml:space="preserve"> johdu kulutuksen rakenteesta eli siitä, että</w:t>
      </w:r>
      <w:r w:rsidRPr="00130CCC">
        <w:rPr>
          <w:rFonts w:ascii="Times New Roman" w:hAnsi="Times New Roman"/>
          <w:sz w:val="24"/>
          <w:szCs w:val="24"/>
        </w:rPr>
        <w:t xml:space="preserve"> energian osuus alempien tuloryhmi</w:t>
      </w:r>
      <w:r>
        <w:rPr>
          <w:rFonts w:ascii="Times New Roman" w:hAnsi="Times New Roman"/>
          <w:sz w:val="24"/>
          <w:szCs w:val="24"/>
        </w:rPr>
        <w:t xml:space="preserve">en kulutusmenoista olisi suuri, </w:t>
      </w:r>
      <w:r w:rsidRPr="00130CCC">
        <w:rPr>
          <w:rFonts w:ascii="Times New Roman" w:hAnsi="Times New Roman"/>
          <w:sz w:val="24"/>
          <w:szCs w:val="24"/>
        </w:rPr>
        <w:t xml:space="preserve">vaan </w:t>
      </w:r>
      <w:r>
        <w:rPr>
          <w:rFonts w:ascii="Times New Roman" w:hAnsi="Times New Roman"/>
          <w:sz w:val="24"/>
          <w:szCs w:val="24"/>
        </w:rPr>
        <w:t xml:space="preserve">siitä, </w:t>
      </w:r>
      <w:r w:rsidRPr="00130CCC">
        <w:rPr>
          <w:rFonts w:ascii="Times New Roman" w:hAnsi="Times New Roman"/>
          <w:sz w:val="24"/>
          <w:szCs w:val="24"/>
        </w:rPr>
        <w:t>että suurituloisemmat käyttävät tuloistaan kulutukseen ylipäänsä vähemmän.</w:t>
      </w:r>
    </w:p>
    <w:p w14:paraId="6311320A" w14:textId="77777777" w:rsidR="00B574B3" w:rsidRDefault="00B574B3" w:rsidP="009D4E90">
      <w:pPr>
        <w:jc w:val="both"/>
        <w:rPr>
          <w:rFonts w:ascii="Times New Roman" w:hAnsi="Times New Roman"/>
          <w:sz w:val="24"/>
          <w:szCs w:val="24"/>
        </w:rPr>
      </w:pPr>
    </w:p>
    <w:p w14:paraId="25B99B4D" w14:textId="77777777" w:rsidR="00B574B3" w:rsidRPr="00D86401" w:rsidRDefault="00B574B3" w:rsidP="009D4E90">
      <w:pPr>
        <w:pStyle w:val="Otsikko1"/>
      </w:pPr>
      <w:bookmarkStart w:id="6" w:name="_Toc327190985"/>
      <w:r w:rsidRPr="00D86401">
        <w:t>Energiaverojen tulonjakovaikutukset</w:t>
      </w:r>
      <w:bookmarkEnd w:id="6"/>
    </w:p>
    <w:p w14:paraId="5C87A180" w14:textId="77777777" w:rsidR="00B574B3" w:rsidRDefault="00B574B3" w:rsidP="00130CCC">
      <w:pPr>
        <w:jc w:val="both"/>
        <w:rPr>
          <w:rFonts w:ascii="Times New Roman" w:hAnsi="Times New Roman"/>
          <w:sz w:val="24"/>
          <w:szCs w:val="24"/>
        </w:rPr>
      </w:pPr>
      <w:r>
        <w:rPr>
          <w:rFonts w:ascii="Times New Roman" w:hAnsi="Times New Roman"/>
          <w:sz w:val="24"/>
          <w:szCs w:val="24"/>
        </w:rPr>
        <w:t xml:space="preserve">Välillisten verojen tulonjakovaikutuksia arvioitaessa lasketaan verojen vaikutus tulojen ostovoimaan. Energiaverojen korotusten tapauksessa tulonjakovaikutus saadaan vähentämällä energiaverojen korotuksen aiheuttama kulutusmenojen lisäys kotitalouksien käytettävissä olevista tuloista. </w:t>
      </w:r>
    </w:p>
    <w:p w14:paraId="5A4BA51B" w14:textId="77777777" w:rsidR="00B574B3" w:rsidRPr="009A100D" w:rsidRDefault="00603419" w:rsidP="00130CCC">
      <w:pPr>
        <w:jc w:val="both"/>
        <w:rPr>
          <w:rFonts w:ascii="Times New Roman" w:hAnsi="Times New Roman"/>
          <w:sz w:val="24"/>
          <w:szCs w:val="24"/>
        </w:rPr>
      </w:pPr>
      <w:r>
        <w:rPr>
          <w:rFonts w:ascii="Times New Roman" w:hAnsi="Times New Roman"/>
          <w:sz w:val="24"/>
          <w:szCs w:val="24"/>
        </w:rPr>
        <w:t>Kotitalouksien</w:t>
      </w:r>
      <w:r w:rsidR="00B574B3">
        <w:rPr>
          <w:rFonts w:ascii="Times New Roman" w:hAnsi="Times New Roman"/>
          <w:sz w:val="24"/>
          <w:szCs w:val="24"/>
        </w:rPr>
        <w:t xml:space="preserve"> taloudellisen aseman</w:t>
      </w:r>
      <w:r w:rsidR="00B574B3" w:rsidRPr="009A100D">
        <w:rPr>
          <w:rFonts w:ascii="Times New Roman" w:hAnsi="Times New Roman"/>
          <w:sz w:val="24"/>
          <w:szCs w:val="24"/>
        </w:rPr>
        <w:t xml:space="preserve"> muutosten vertailuun käytettävistä tunnusluvuista yleisimpiä ovat Gini-kerroin ja pienituloisuusaste. </w:t>
      </w:r>
      <w:r w:rsidR="00A4338C">
        <w:rPr>
          <w:rFonts w:ascii="Times New Roman" w:hAnsi="Times New Roman"/>
          <w:sz w:val="24"/>
          <w:szCs w:val="24"/>
        </w:rPr>
        <w:t xml:space="preserve">Nämä ovat kansainvälisissä tutkimuksissa yleisesti sovellettavia indikaattoreita. Yhteisesti sovitut indikaattorit mahdollistavat tuotannontekijätuloissa tapahtuvien muutosten sekä politiikkamuutosten vaikutukset kotitalouksien välisiin tuloeroihin. Lisäksi indikaattorit mahdollistavat eri maiden väliset yhteismitalliset vertailut.  </w:t>
      </w:r>
    </w:p>
    <w:p w14:paraId="2309F572" w14:textId="77777777" w:rsidR="00B574B3" w:rsidRDefault="00B574B3" w:rsidP="00130CCC">
      <w:pPr>
        <w:jc w:val="both"/>
        <w:rPr>
          <w:rFonts w:ascii="Times New Roman" w:hAnsi="Times New Roman"/>
          <w:snapToGrid w:val="0"/>
          <w:color w:val="000000"/>
          <w:sz w:val="24"/>
          <w:szCs w:val="24"/>
        </w:rPr>
      </w:pPr>
      <w:r w:rsidRPr="00492E0E">
        <w:rPr>
          <w:rFonts w:ascii="Times New Roman" w:hAnsi="Times New Roman"/>
          <w:snapToGrid w:val="0"/>
          <w:color w:val="000000"/>
          <w:sz w:val="24"/>
          <w:szCs w:val="24"/>
        </w:rPr>
        <w:lastRenderedPageBreak/>
        <w:t>Gini-kerroin kuvaa muuttujan</w:t>
      </w:r>
      <w:r>
        <w:rPr>
          <w:rFonts w:ascii="Times New Roman" w:hAnsi="Times New Roman"/>
          <w:snapToGrid w:val="0"/>
          <w:color w:val="000000"/>
          <w:sz w:val="24"/>
          <w:szCs w:val="24"/>
        </w:rPr>
        <w:t xml:space="preserve"> – tässä tapauksessa tulojen - jakautumisen</w:t>
      </w:r>
      <w:r w:rsidRPr="00492E0E">
        <w:rPr>
          <w:rFonts w:ascii="Times New Roman" w:hAnsi="Times New Roman"/>
          <w:snapToGrid w:val="0"/>
          <w:color w:val="000000"/>
          <w:sz w:val="24"/>
          <w:szCs w:val="24"/>
        </w:rPr>
        <w:t xml:space="preserve"> </w:t>
      </w:r>
      <w:r>
        <w:rPr>
          <w:rFonts w:ascii="Times New Roman" w:hAnsi="Times New Roman"/>
          <w:snapToGrid w:val="0"/>
          <w:color w:val="000000"/>
          <w:sz w:val="24"/>
          <w:szCs w:val="24"/>
        </w:rPr>
        <w:t xml:space="preserve">yleistä </w:t>
      </w:r>
      <w:r w:rsidRPr="00492E0E">
        <w:rPr>
          <w:rFonts w:ascii="Times New Roman" w:hAnsi="Times New Roman"/>
          <w:snapToGrid w:val="0"/>
          <w:color w:val="000000"/>
          <w:sz w:val="24"/>
          <w:szCs w:val="24"/>
        </w:rPr>
        <w:t>epätasaisuutta</w:t>
      </w:r>
      <w:r>
        <w:rPr>
          <w:rFonts w:ascii="Times New Roman" w:hAnsi="Times New Roman"/>
          <w:snapToGrid w:val="0"/>
          <w:color w:val="000000"/>
          <w:sz w:val="24"/>
          <w:szCs w:val="24"/>
        </w:rPr>
        <w:t>. Gini-kertoimen laskentakaavoja on erilaisia, mutta ne palautuvat samaan perusmuotoon:</w:t>
      </w:r>
    </w:p>
    <w:p w14:paraId="5019DAD3" w14:textId="77777777" w:rsidR="00B574B3" w:rsidRPr="00492E0E" w:rsidRDefault="00B574B3" w:rsidP="00130CCC">
      <w:pPr>
        <w:ind w:left="1304"/>
        <w:jc w:val="both"/>
        <w:rPr>
          <w:rFonts w:ascii="Times New Roman" w:hAnsi="Times New Roman"/>
          <w:snapToGrid w:val="0"/>
          <w:color w:val="000000"/>
          <w:sz w:val="24"/>
          <w:szCs w:val="24"/>
        </w:rPr>
      </w:pPr>
      <w:r w:rsidRPr="00BB3E22">
        <w:rPr>
          <w:snapToGrid w:val="0"/>
          <w:color w:val="000000"/>
        </w:rPr>
        <w:object w:dxaOrig="2240" w:dyaOrig="780" w14:anchorId="0C406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37.55pt" o:ole="">
            <v:imagedata r:id="rId11" o:title=""/>
          </v:shape>
          <o:OLEObject Type="Embed" ProgID="Equation.3" ShapeID="_x0000_i1025" DrawAspect="Content" ObjectID="_1515515505" r:id="rId12"/>
        </w:object>
      </w:r>
    </w:p>
    <w:p w14:paraId="0AECA447" w14:textId="77777777" w:rsidR="00B574B3" w:rsidRDefault="00B574B3" w:rsidP="00130CCC">
      <w:pPr>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Ginikerroin sisältää siis tarkasteltavan muuttujan erot kaikkien perusjoukon havaintoyksiköiden välillä suhteutettuna perusjoukon lukumäärän neliöön ja muuttujan keskiarvoon. Kun muuttujan keskiarvo on jakajassa, muuttujan yleistason – esimerkiksi tulojen suhteen yleisen talouskasvun tai inflaation - vaikutus Gini-kertoimeen eliminoituu. </w:t>
      </w:r>
    </w:p>
    <w:p w14:paraId="3366E02E" w14:textId="77777777" w:rsidR="00B574B3" w:rsidRDefault="00B574B3" w:rsidP="00130CCC">
      <w:pPr>
        <w:jc w:val="both"/>
      </w:pPr>
      <w:r>
        <w:rPr>
          <w:rFonts w:ascii="Times New Roman" w:hAnsi="Times New Roman"/>
          <w:snapToGrid w:val="0"/>
          <w:color w:val="000000"/>
          <w:sz w:val="24"/>
          <w:szCs w:val="24"/>
        </w:rPr>
        <w:t>Gini-kerroin saa arvoja välillä 0 ja 1. Kerroin on 0 silloin, kun muuttujan arvo on sama kaikilla havaintoyksiköillä (ei tuloeroja, kun tulot ovat kaikilla yhtä suuret) ja sen arvo on 1 silloin kun muuttuja (tulot) on keskittynyt vain yhdelle havaintoyksikölle ja muilla se on nolla. Yleensä Gini-kertoimet esitetään prosentteina (0 – 100 %)</w:t>
      </w:r>
      <w:r w:rsidRPr="00492E0E">
        <w:rPr>
          <w:rFonts w:ascii="Times New Roman" w:hAnsi="Times New Roman"/>
          <w:snapToGrid w:val="0"/>
          <w:color w:val="000000"/>
          <w:sz w:val="24"/>
          <w:szCs w:val="24"/>
        </w:rPr>
        <w:t>.</w:t>
      </w:r>
      <w:r>
        <w:rPr>
          <w:rFonts w:ascii="Times New Roman" w:hAnsi="Times New Roman"/>
          <w:snapToGrid w:val="0"/>
          <w:color w:val="000000"/>
          <w:sz w:val="24"/>
          <w:szCs w:val="24"/>
        </w:rPr>
        <w:t xml:space="preserve"> </w:t>
      </w:r>
    </w:p>
    <w:p w14:paraId="0CB31AE2" w14:textId="77777777" w:rsidR="00B574B3" w:rsidRDefault="00B574B3" w:rsidP="00130CCC">
      <w:pPr>
        <w:jc w:val="both"/>
        <w:rPr>
          <w:rFonts w:ascii="Times New Roman" w:hAnsi="Times New Roman"/>
          <w:sz w:val="24"/>
          <w:szCs w:val="24"/>
        </w:rPr>
      </w:pPr>
      <w:r>
        <w:rPr>
          <w:rFonts w:ascii="Times New Roman" w:hAnsi="Times New Roman"/>
          <w:sz w:val="24"/>
          <w:szCs w:val="24"/>
        </w:rPr>
        <w:t>Kulutustutkimuksessa otoskotitalouksiin on liitetty väestöpainot, jotka ilmaisevat, kuinka suurta väestömäärää kukin kotitalous edustaa koko väestöstä. Tämän tekijän sisällyttämiseksi Gini-kertoimeen, kertoimen laskentamallina käytettiin Van Ourti &amp; Clarke (2012) artikkelissa esitettyä ”groups of unequal size” laskentakaavaa. Kulutustutkimuksen perusdatalle malli antoi saman Gini-kertoimen arvon kuin</w:t>
      </w:r>
      <w:r w:rsidR="002F744E">
        <w:rPr>
          <w:rFonts w:ascii="Times New Roman" w:hAnsi="Times New Roman"/>
          <w:sz w:val="24"/>
          <w:szCs w:val="24"/>
        </w:rPr>
        <w:t xml:space="preserve"> Riihelän käyttämä estimaattori (Riihelä 2010, 2011)</w:t>
      </w:r>
      <w:r w:rsidR="00C74D95">
        <w:rPr>
          <w:rFonts w:ascii="Times New Roman" w:hAnsi="Times New Roman"/>
          <w:sz w:val="24"/>
          <w:szCs w:val="24"/>
        </w:rPr>
        <w:t xml:space="preserve">. </w:t>
      </w:r>
    </w:p>
    <w:p w14:paraId="4E1AFF3B" w14:textId="77777777" w:rsidR="00B574B3" w:rsidRDefault="00B574B3" w:rsidP="00130CCC">
      <w:pPr>
        <w:jc w:val="both"/>
        <w:rPr>
          <w:rFonts w:ascii="Times New Roman" w:hAnsi="Times New Roman"/>
          <w:sz w:val="24"/>
          <w:szCs w:val="24"/>
        </w:rPr>
      </w:pPr>
      <w:r w:rsidRPr="0099226C">
        <w:rPr>
          <w:rFonts w:ascii="Times New Roman" w:hAnsi="Times New Roman"/>
          <w:sz w:val="24"/>
          <w:szCs w:val="24"/>
        </w:rPr>
        <w:t>Pienituloisiksi henkilöiksi määritellään kansainväl</w:t>
      </w:r>
      <w:r>
        <w:rPr>
          <w:rFonts w:ascii="Times New Roman" w:hAnsi="Times New Roman"/>
          <w:sz w:val="24"/>
          <w:szCs w:val="24"/>
        </w:rPr>
        <w:t xml:space="preserve">isten suositusten mukaisesti </w:t>
      </w:r>
      <w:r w:rsidRPr="0099226C">
        <w:rPr>
          <w:rFonts w:ascii="Times New Roman" w:hAnsi="Times New Roman"/>
          <w:sz w:val="24"/>
          <w:szCs w:val="24"/>
        </w:rPr>
        <w:t>henkilöt, jotka kuuluvat kotitalouteen, jonka ekvivalentit tulot ovat pienemmät kuin 60 prosenttia ekvivalentista mediaanitulosta. Mediaanitulo on keskimmäisen henkilön tulo, kun kotitalousväestö asetetaan tulojen mukaan suuruusjärjestykseen. Näin määriteltyjen pienituloisten henkilöiden osuutta väestöstä kutsutaan pienituloisuusasteeksi</w:t>
      </w:r>
      <w:r w:rsidR="002F744E">
        <w:rPr>
          <w:rFonts w:ascii="Times New Roman" w:hAnsi="Times New Roman"/>
          <w:sz w:val="24"/>
          <w:szCs w:val="24"/>
        </w:rPr>
        <w:t xml:space="preserve"> tai suorasukaisemmin köyhyysasteeksi.</w:t>
      </w:r>
    </w:p>
    <w:p w14:paraId="7CBE5DEF" w14:textId="77777777" w:rsidR="00B574B3" w:rsidRDefault="007C1F10" w:rsidP="00130CCC">
      <w:pPr>
        <w:jc w:val="both"/>
        <w:rPr>
          <w:rFonts w:ascii="Times New Roman" w:hAnsi="Times New Roman"/>
          <w:sz w:val="24"/>
          <w:szCs w:val="24"/>
        </w:rPr>
      </w:pPr>
      <w:r>
        <w:rPr>
          <w:rFonts w:ascii="Times New Roman" w:hAnsi="Times New Roman"/>
          <w:sz w:val="24"/>
          <w:szCs w:val="24"/>
        </w:rPr>
        <w:t>Taulukossa 5</w:t>
      </w:r>
      <w:r w:rsidR="00B574B3">
        <w:rPr>
          <w:rFonts w:ascii="Times New Roman" w:hAnsi="Times New Roman"/>
          <w:sz w:val="24"/>
          <w:szCs w:val="24"/>
        </w:rPr>
        <w:t xml:space="preserve"> on esitetty Gini-kertoimet ja köyhyysasteet eri energiaveroilla. Koska vuoden 2010 energiaverot sisältyivät vuoden 2010 kuluttajahintoihin, 2010 energiaverojen Gini-kerroin ja köyhyysaste on laskettu kulutustutkimuksen vuoden 2006 tulojen vuoteen 2010 kuluttaja</w:t>
      </w:r>
      <w:r w:rsidR="006F75B1">
        <w:rPr>
          <w:rFonts w:ascii="Times New Roman" w:hAnsi="Times New Roman"/>
          <w:sz w:val="24"/>
          <w:szCs w:val="24"/>
        </w:rPr>
        <w:t>-</w:t>
      </w:r>
      <w:r w:rsidR="00B574B3">
        <w:rPr>
          <w:rFonts w:ascii="Times New Roman" w:hAnsi="Times New Roman"/>
          <w:sz w:val="24"/>
          <w:szCs w:val="24"/>
        </w:rPr>
        <w:t>hintaindeksillä deflatoiduista tuloista. Veronkorotusten vaikutus on laskettu vähentämällä veron</w:t>
      </w:r>
      <w:r w:rsidR="006F75B1">
        <w:rPr>
          <w:rFonts w:ascii="Times New Roman" w:hAnsi="Times New Roman"/>
          <w:sz w:val="24"/>
          <w:szCs w:val="24"/>
        </w:rPr>
        <w:t>-</w:t>
      </w:r>
      <w:r w:rsidR="00B574B3">
        <w:rPr>
          <w:rFonts w:ascii="Times New Roman" w:hAnsi="Times New Roman"/>
          <w:sz w:val="24"/>
          <w:szCs w:val="24"/>
        </w:rPr>
        <w:t>korotusten aiheuttamat kulutusmenojen lisäykset käytettävissä olevista tuloista.</w:t>
      </w:r>
    </w:p>
    <w:p w14:paraId="2E26A26B" w14:textId="77777777" w:rsidR="00B574B3" w:rsidRPr="0007482D" w:rsidRDefault="007C1F10" w:rsidP="006F75B1">
      <w:pPr>
        <w:rPr>
          <w:rFonts w:ascii="Times New Roman" w:hAnsi="Times New Roman"/>
          <w:i/>
          <w:sz w:val="24"/>
          <w:szCs w:val="24"/>
        </w:rPr>
      </w:pPr>
      <w:r>
        <w:rPr>
          <w:rFonts w:ascii="Times New Roman" w:hAnsi="Times New Roman"/>
          <w:b/>
          <w:i/>
          <w:sz w:val="24"/>
          <w:szCs w:val="24"/>
        </w:rPr>
        <w:t>Taulukko 5</w:t>
      </w:r>
      <w:r w:rsidR="00B574B3" w:rsidRPr="0007482D">
        <w:rPr>
          <w:rFonts w:ascii="Times New Roman" w:hAnsi="Times New Roman"/>
          <w:b/>
          <w:i/>
          <w:sz w:val="24"/>
          <w:szCs w:val="24"/>
        </w:rPr>
        <w:t>.</w:t>
      </w:r>
      <w:r w:rsidR="00B574B3" w:rsidRPr="0007482D">
        <w:rPr>
          <w:rFonts w:ascii="Times New Roman" w:hAnsi="Times New Roman"/>
          <w:i/>
          <w:sz w:val="24"/>
          <w:szCs w:val="24"/>
        </w:rPr>
        <w:t xml:space="preserve"> Gini-kerroin ja köyhyysaste, %, </w:t>
      </w:r>
      <w:r w:rsidR="00B574B3">
        <w:rPr>
          <w:rFonts w:ascii="Times New Roman" w:hAnsi="Times New Roman"/>
          <w:i/>
          <w:sz w:val="24"/>
          <w:szCs w:val="24"/>
        </w:rPr>
        <w:t>er</w:t>
      </w:r>
      <w:r w:rsidR="00B574B3" w:rsidRPr="0007482D">
        <w:rPr>
          <w:rFonts w:ascii="Times New Roman" w:hAnsi="Times New Roman"/>
          <w:i/>
          <w:sz w:val="24"/>
          <w:szCs w:val="24"/>
        </w:rPr>
        <w:t>i energiaveroilla</w:t>
      </w:r>
      <w:r w:rsidR="00B574B3">
        <w:rPr>
          <w:rFonts w:ascii="Times New Roman" w:hAnsi="Times New Roman"/>
          <w:i/>
          <w:sz w:val="24"/>
          <w:szCs w:val="24"/>
        </w:rPr>
        <w:t>, kun veronkorotusten kustannusvaikutus v</w:t>
      </w:r>
      <w:r w:rsidR="006F75B1">
        <w:rPr>
          <w:rFonts w:ascii="Times New Roman" w:hAnsi="Times New Roman"/>
          <w:i/>
          <w:sz w:val="24"/>
          <w:szCs w:val="24"/>
        </w:rPr>
        <w:t>ähennetään tulojen ostovoimasta</w:t>
      </w:r>
    </w:p>
    <w:tbl>
      <w:tblPr>
        <w:tblW w:w="5260" w:type="dxa"/>
        <w:tblInd w:w="1304" w:type="dxa"/>
        <w:tblCellMar>
          <w:left w:w="70" w:type="dxa"/>
          <w:right w:w="70" w:type="dxa"/>
        </w:tblCellMar>
        <w:tblLook w:val="00A0" w:firstRow="1" w:lastRow="0" w:firstColumn="1" w:lastColumn="0" w:noHBand="0" w:noVBand="0"/>
      </w:tblPr>
      <w:tblGrid>
        <w:gridCol w:w="2283"/>
        <w:gridCol w:w="1560"/>
        <w:gridCol w:w="1417"/>
      </w:tblGrid>
      <w:tr w:rsidR="00B574B3" w:rsidRPr="003B0C97" w14:paraId="2BDB68F2" w14:textId="77777777" w:rsidTr="00484298">
        <w:trPr>
          <w:trHeight w:val="300"/>
        </w:trPr>
        <w:tc>
          <w:tcPr>
            <w:tcW w:w="2283" w:type="dxa"/>
            <w:tcBorders>
              <w:top w:val="nil"/>
              <w:left w:val="nil"/>
              <w:bottom w:val="single" w:sz="4" w:space="0" w:color="auto"/>
              <w:right w:val="nil"/>
            </w:tcBorders>
            <w:noWrap/>
            <w:vAlign w:val="bottom"/>
          </w:tcPr>
          <w:p w14:paraId="1B31C1CF" w14:textId="77777777" w:rsidR="00B574B3" w:rsidRPr="003B0C97" w:rsidRDefault="00B574B3" w:rsidP="0007482D">
            <w:pPr>
              <w:spacing w:after="0" w:line="240" w:lineRule="auto"/>
              <w:rPr>
                <w:rFonts w:cs="Calibri"/>
                <w:color w:val="000000"/>
                <w:lang w:eastAsia="fi-FI"/>
              </w:rPr>
            </w:pPr>
            <w:r w:rsidRPr="003B0C97">
              <w:rPr>
                <w:rFonts w:cs="Calibri"/>
                <w:color w:val="000000"/>
                <w:lang w:eastAsia="fi-FI"/>
              </w:rPr>
              <w:t> </w:t>
            </w:r>
          </w:p>
        </w:tc>
        <w:tc>
          <w:tcPr>
            <w:tcW w:w="1560" w:type="dxa"/>
            <w:tcBorders>
              <w:top w:val="nil"/>
              <w:left w:val="nil"/>
              <w:bottom w:val="single" w:sz="4" w:space="0" w:color="auto"/>
              <w:right w:val="nil"/>
            </w:tcBorders>
            <w:noWrap/>
            <w:vAlign w:val="bottom"/>
          </w:tcPr>
          <w:p w14:paraId="5EE4DAFE"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Gini-kerroin</w:t>
            </w:r>
          </w:p>
        </w:tc>
        <w:tc>
          <w:tcPr>
            <w:tcW w:w="1417" w:type="dxa"/>
            <w:tcBorders>
              <w:top w:val="nil"/>
              <w:left w:val="nil"/>
              <w:bottom w:val="single" w:sz="4" w:space="0" w:color="auto"/>
              <w:right w:val="nil"/>
            </w:tcBorders>
            <w:noWrap/>
            <w:vAlign w:val="bottom"/>
          </w:tcPr>
          <w:p w14:paraId="0CB23657"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Köyhyysaste</w:t>
            </w:r>
          </w:p>
        </w:tc>
      </w:tr>
      <w:tr w:rsidR="00B574B3" w:rsidRPr="003B0C97" w14:paraId="5F6AC11B" w14:textId="77777777" w:rsidTr="00484298">
        <w:trPr>
          <w:trHeight w:val="300"/>
        </w:trPr>
        <w:tc>
          <w:tcPr>
            <w:tcW w:w="2283" w:type="dxa"/>
            <w:tcBorders>
              <w:top w:val="nil"/>
              <w:left w:val="nil"/>
              <w:bottom w:val="nil"/>
              <w:right w:val="nil"/>
            </w:tcBorders>
            <w:noWrap/>
            <w:vAlign w:val="bottom"/>
          </w:tcPr>
          <w:p w14:paraId="1B55CE61" w14:textId="77777777" w:rsidR="00B574B3" w:rsidRPr="003B0C97" w:rsidRDefault="00B574B3" w:rsidP="0007482D">
            <w:pPr>
              <w:spacing w:after="0" w:line="240" w:lineRule="auto"/>
              <w:rPr>
                <w:rFonts w:cs="Calibri"/>
                <w:color w:val="000000"/>
                <w:lang w:eastAsia="fi-FI"/>
              </w:rPr>
            </w:pPr>
            <w:r w:rsidRPr="003B0C97">
              <w:rPr>
                <w:rFonts w:cs="Calibri"/>
                <w:color w:val="000000"/>
                <w:lang w:eastAsia="fi-FI"/>
              </w:rPr>
              <w:t>2010 energiaverot</w:t>
            </w:r>
          </w:p>
        </w:tc>
        <w:tc>
          <w:tcPr>
            <w:tcW w:w="1560" w:type="dxa"/>
            <w:tcBorders>
              <w:top w:val="nil"/>
              <w:left w:val="nil"/>
              <w:bottom w:val="nil"/>
              <w:right w:val="nil"/>
            </w:tcBorders>
            <w:noWrap/>
            <w:vAlign w:val="bottom"/>
          </w:tcPr>
          <w:p w14:paraId="45DB1722"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26,47</w:t>
            </w:r>
          </w:p>
        </w:tc>
        <w:tc>
          <w:tcPr>
            <w:tcW w:w="1417" w:type="dxa"/>
            <w:tcBorders>
              <w:top w:val="nil"/>
              <w:left w:val="nil"/>
              <w:bottom w:val="nil"/>
              <w:right w:val="nil"/>
            </w:tcBorders>
            <w:noWrap/>
            <w:vAlign w:val="bottom"/>
          </w:tcPr>
          <w:p w14:paraId="01136087"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12,53</w:t>
            </w:r>
          </w:p>
        </w:tc>
      </w:tr>
      <w:tr w:rsidR="00B574B3" w:rsidRPr="003B0C97" w14:paraId="505D1E80" w14:textId="77777777" w:rsidTr="00484298">
        <w:trPr>
          <w:trHeight w:val="300"/>
        </w:trPr>
        <w:tc>
          <w:tcPr>
            <w:tcW w:w="2283" w:type="dxa"/>
            <w:tcBorders>
              <w:top w:val="nil"/>
              <w:left w:val="nil"/>
              <w:bottom w:val="nil"/>
              <w:right w:val="nil"/>
            </w:tcBorders>
            <w:noWrap/>
            <w:vAlign w:val="bottom"/>
          </w:tcPr>
          <w:p w14:paraId="1D7F0D24" w14:textId="77777777" w:rsidR="00B574B3" w:rsidRPr="003B0C97" w:rsidRDefault="00B574B3" w:rsidP="0007482D">
            <w:pPr>
              <w:spacing w:after="0" w:line="240" w:lineRule="auto"/>
              <w:rPr>
                <w:rFonts w:cs="Calibri"/>
                <w:color w:val="000000"/>
                <w:lang w:eastAsia="fi-FI"/>
              </w:rPr>
            </w:pPr>
            <w:r w:rsidRPr="003B0C97">
              <w:rPr>
                <w:rFonts w:cs="Calibri"/>
                <w:color w:val="000000"/>
                <w:lang w:eastAsia="fi-FI"/>
              </w:rPr>
              <w:t>2011-12 korotukset</w:t>
            </w:r>
          </w:p>
        </w:tc>
        <w:tc>
          <w:tcPr>
            <w:tcW w:w="1560" w:type="dxa"/>
            <w:tcBorders>
              <w:top w:val="nil"/>
              <w:left w:val="nil"/>
              <w:bottom w:val="nil"/>
              <w:right w:val="nil"/>
            </w:tcBorders>
            <w:noWrap/>
            <w:vAlign w:val="bottom"/>
          </w:tcPr>
          <w:p w14:paraId="2E27E556"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26,5</w:t>
            </w:r>
            <w:r w:rsidR="00183EE3">
              <w:rPr>
                <w:rFonts w:cs="Calibri"/>
                <w:color w:val="000000"/>
                <w:lang w:eastAsia="fi-FI"/>
              </w:rPr>
              <w:t>6</w:t>
            </w:r>
          </w:p>
        </w:tc>
        <w:tc>
          <w:tcPr>
            <w:tcW w:w="1417" w:type="dxa"/>
            <w:tcBorders>
              <w:top w:val="nil"/>
              <w:left w:val="nil"/>
              <w:bottom w:val="nil"/>
              <w:right w:val="nil"/>
            </w:tcBorders>
            <w:noWrap/>
            <w:vAlign w:val="bottom"/>
          </w:tcPr>
          <w:p w14:paraId="4B95E41E"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12,57</w:t>
            </w:r>
          </w:p>
        </w:tc>
      </w:tr>
      <w:tr w:rsidR="00B574B3" w:rsidRPr="003B0C97" w14:paraId="7C260809" w14:textId="77777777" w:rsidTr="00484298">
        <w:trPr>
          <w:trHeight w:val="300"/>
        </w:trPr>
        <w:tc>
          <w:tcPr>
            <w:tcW w:w="2283" w:type="dxa"/>
            <w:tcBorders>
              <w:top w:val="nil"/>
              <w:left w:val="nil"/>
              <w:bottom w:val="single" w:sz="4" w:space="0" w:color="auto"/>
              <w:right w:val="nil"/>
            </w:tcBorders>
            <w:noWrap/>
            <w:vAlign w:val="bottom"/>
          </w:tcPr>
          <w:p w14:paraId="1F67F8E8" w14:textId="77777777" w:rsidR="00B574B3" w:rsidRPr="003B0C97" w:rsidRDefault="00B574B3" w:rsidP="0007482D">
            <w:pPr>
              <w:spacing w:after="0" w:line="240" w:lineRule="auto"/>
              <w:rPr>
                <w:rFonts w:cs="Calibri"/>
                <w:color w:val="000000"/>
                <w:lang w:eastAsia="fi-FI"/>
              </w:rPr>
            </w:pPr>
            <w:r w:rsidRPr="003B0C97">
              <w:rPr>
                <w:rFonts w:cs="Calibri"/>
                <w:color w:val="000000"/>
                <w:lang w:eastAsia="fi-FI"/>
              </w:rPr>
              <w:t>2015 lisäkorotukset</w:t>
            </w:r>
          </w:p>
        </w:tc>
        <w:tc>
          <w:tcPr>
            <w:tcW w:w="1560" w:type="dxa"/>
            <w:tcBorders>
              <w:top w:val="nil"/>
              <w:left w:val="nil"/>
              <w:bottom w:val="single" w:sz="4" w:space="0" w:color="auto"/>
              <w:right w:val="nil"/>
            </w:tcBorders>
            <w:noWrap/>
            <w:vAlign w:val="bottom"/>
          </w:tcPr>
          <w:p w14:paraId="72C49F0A"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26,5</w:t>
            </w:r>
            <w:r w:rsidR="00183EE3">
              <w:rPr>
                <w:rFonts w:cs="Calibri"/>
                <w:color w:val="000000"/>
                <w:lang w:eastAsia="fi-FI"/>
              </w:rPr>
              <w:t>8</w:t>
            </w:r>
          </w:p>
        </w:tc>
        <w:tc>
          <w:tcPr>
            <w:tcW w:w="1417" w:type="dxa"/>
            <w:tcBorders>
              <w:top w:val="nil"/>
              <w:left w:val="nil"/>
              <w:bottom w:val="single" w:sz="4" w:space="0" w:color="auto"/>
              <w:right w:val="nil"/>
            </w:tcBorders>
            <w:noWrap/>
            <w:vAlign w:val="bottom"/>
          </w:tcPr>
          <w:p w14:paraId="7C163CC3" w14:textId="77777777" w:rsidR="00B574B3" w:rsidRPr="003B0C97" w:rsidRDefault="00B574B3" w:rsidP="0007482D">
            <w:pPr>
              <w:spacing w:after="0" w:line="240" w:lineRule="auto"/>
              <w:jc w:val="center"/>
              <w:rPr>
                <w:rFonts w:cs="Calibri"/>
                <w:color w:val="000000"/>
                <w:lang w:eastAsia="fi-FI"/>
              </w:rPr>
            </w:pPr>
            <w:r w:rsidRPr="003B0C97">
              <w:rPr>
                <w:rFonts w:cs="Calibri"/>
                <w:color w:val="000000"/>
                <w:lang w:eastAsia="fi-FI"/>
              </w:rPr>
              <w:t>12,63</w:t>
            </w:r>
          </w:p>
        </w:tc>
      </w:tr>
    </w:tbl>
    <w:p w14:paraId="5A0F4392" w14:textId="77777777" w:rsidR="00B574B3" w:rsidRDefault="00B574B3" w:rsidP="00130CCC">
      <w:pPr>
        <w:jc w:val="both"/>
        <w:rPr>
          <w:rFonts w:ascii="Times New Roman" w:hAnsi="Times New Roman"/>
          <w:sz w:val="24"/>
          <w:szCs w:val="24"/>
        </w:rPr>
      </w:pPr>
    </w:p>
    <w:p w14:paraId="16A00D16" w14:textId="77777777" w:rsidR="00371832" w:rsidRDefault="00B574B3" w:rsidP="00130CCC">
      <w:pPr>
        <w:jc w:val="both"/>
        <w:rPr>
          <w:rFonts w:ascii="Times New Roman" w:hAnsi="Times New Roman"/>
          <w:sz w:val="24"/>
          <w:szCs w:val="24"/>
        </w:rPr>
      </w:pPr>
      <w:r>
        <w:rPr>
          <w:rFonts w:ascii="Times New Roman" w:hAnsi="Times New Roman"/>
          <w:sz w:val="24"/>
          <w:szCs w:val="24"/>
        </w:rPr>
        <w:t xml:space="preserve">Gini-kerroin kohoaa energiaverojen korotusten myötä lievästi, samoin köyhyysaste. </w:t>
      </w:r>
    </w:p>
    <w:p w14:paraId="1522BEB1" w14:textId="77777777" w:rsidR="007C1F10" w:rsidRDefault="007C1F10" w:rsidP="00130CCC">
      <w:pPr>
        <w:jc w:val="both"/>
        <w:rPr>
          <w:rFonts w:ascii="Times New Roman" w:hAnsi="Times New Roman"/>
          <w:sz w:val="24"/>
          <w:szCs w:val="24"/>
        </w:rPr>
      </w:pPr>
    </w:p>
    <w:p w14:paraId="70FA3A87" w14:textId="77777777" w:rsidR="00371832" w:rsidRDefault="00876007" w:rsidP="00371832">
      <w:pPr>
        <w:pStyle w:val="Otsikko1"/>
      </w:pPr>
      <w:bookmarkStart w:id="7" w:name="_Toc327190986"/>
      <w:r>
        <w:lastRenderedPageBreak/>
        <w:t>Johtopäätökset</w:t>
      </w:r>
      <w:bookmarkEnd w:id="7"/>
    </w:p>
    <w:p w14:paraId="4AA45004" w14:textId="77777777" w:rsidR="007C1F10" w:rsidRDefault="007C1F10" w:rsidP="006F75B1">
      <w:pPr>
        <w:jc w:val="both"/>
        <w:rPr>
          <w:rFonts w:ascii="Times New Roman" w:hAnsi="Times New Roman"/>
          <w:sz w:val="24"/>
          <w:szCs w:val="24"/>
        </w:rPr>
      </w:pPr>
      <w:r>
        <w:rPr>
          <w:rFonts w:ascii="Times New Roman" w:hAnsi="Times New Roman"/>
          <w:sz w:val="24"/>
          <w:szCs w:val="24"/>
        </w:rPr>
        <w:t>Hallituksen vuoden 2012 kevään kehysriihessä päätettiin arvonlisäverotuksen kaikkien verokantojen korottamisesta yhdellä prosenttiyksiköllä vuoden 2013 alusta lähtien. Korotuksen verotuoton on arvioitu ole</w:t>
      </w:r>
      <w:r w:rsidR="003A7CD5">
        <w:rPr>
          <w:rFonts w:ascii="Times New Roman" w:hAnsi="Times New Roman"/>
          <w:sz w:val="24"/>
          <w:szCs w:val="24"/>
        </w:rPr>
        <w:t>va</w:t>
      </w:r>
      <w:r>
        <w:rPr>
          <w:rFonts w:ascii="Times New Roman" w:hAnsi="Times New Roman"/>
          <w:sz w:val="24"/>
          <w:szCs w:val="24"/>
        </w:rPr>
        <w:t>n 820 miljoonaa euroa.  Vuosien 2011 ja 2012 energiavero</w:t>
      </w:r>
      <w:r w:rsidR="00340D05">
        <w:rPr>
          <w:rFonts w:ascii="Times New Roman" w:hAnsi="Times New Roman"/>
          <w:sz w:val="24"/>
          <w:szCs w:val="24"/>
        </w:rPr>
        <w:t>koro</w:t>
      </w:r>
      <w:r>
        <w:rPr>
          <w:rFonts w:ascii="Times New Roman" w:hAnsi="Times New Roman"/>
          <w:sz w:val="24"/>
          <w:szCs w:val="24"/>
        </w:rPr>
        <w:t xml:space="preserve">tusten </w:t>
      </w:r>
      <w:r w:rsidR="002C6AD2">
        <w:rPr>
          <w:rFonts w:ascii="Times New Roman" w:hAnsi="Times New Roman"/>
          <w:sz w:val="24"/>
          <w:szCs w:val="24"/>
        </w:rPr>
        <w:t>nettotuotto, kun energiaverojen vähennykset ja palautukset on vähennetty</w:t>
      </w:r>
      <w:r w:rsidR="003A7CD5">
        <w:rPr>
          <w:rFonts w:ascii="Times New Roman" w:hAnsi="Times New Roman"/>
          <w:sz w:val="24"/>
          <w:szCs w:val="24"/>
        </w:rPr>
        <w:t>,</w:t>
      </w:r>
      <w:r w:rsidR="002C6AD2">
        <w:rPr>
          <w:rFonts w:ascii="Times New Roman" w:hAnsi="Times New Roman"/>
          <w:sz w:val="24"/>
          <w:szCs w:val="24"/>
        </w:rPr>
        <w:t xml:space="preserve"> on arvioitu olevan yhteensä 951 miljoonaa euroa. Siten arvonlisäverojen korotus ja energia</w:t>
      </w:r>
      <w:r w:rsidR="003A7CD5">
        <w:rPr>
          <w:rFonts w:ascii="Times New Roman" w:hAnsi="Times New Roman"/>
          <w:sz w:val="24"/>
          <w:szCs w:val="24"/>
        </w:rPr>
        <w:t>verojen ko</w:t>
      </w:r>
      <w:r w:rsidR="002C6AD2">
        <w:rPr>
          <w:rFonts w:ascii="Times New Roman" w:hAnsi="Times New Roman"/>
          <w:sz w:val="24"/>
          <w:szCs w:val="24"/>
        </w:rPr>
        <w:t>rotusten tuotto</w:t>
      </w:r>
      <w:r w:rsidR="006F75B1">
        <w:rPr>
          <w:rFonts w:ascii="Times New Roman" w:hAnsi="Times New Roman"/>
          <w:sz w:val="24"/>
          <w:szCs w:val="24"/>
        </w:rPr>
        <w:t>-</w:t>
      </w:r>
      <w:r w:rsidR="00340D05">
        <w:rPr>
          <w:rFonts w:ascii="Times New Roman" w:hAnsi="Times New Roman"/>
          <w:sz w:val="24"/>
          <w:szCs w:val="24"/>
        </w:rPr>
        <w:t>vaikutukset ovat</w:t>
      </w:r>
      <w:r w:rsidR="002C6AD2">
        <w:rPr>
          <w:rFonts w:ascii="Times New Roman" w:hAnsi="Times New Roman"/>
          <w:sz w:val="24"/>
          <w:szCs w:val="24"/>
        </w:rPr>
        <w:t xml:space="preserve"> samaa suuruusluokkaa, vaikkakin energiaverojen tuottovaikutus on hieman</w:t>
      </w:r>
      <w:r w:rsidR="002F744E">
        <w:rPr>
          <w:rFonts w:ascii="Times New Roman" w:hAnsi="Times New Roman"/>
          <w:sz w:val="24"/>
          <w:szCs w:val="24"/>
        </w:rPr>
        <w:t>, 16 %,</w:t>
      </w:r>
      <w:r w:rsidR="002C6AD2">
        <w:rPr>
          <w:rFonts w:ascii="Times New Roman" w:hAnsi="Times New Roman"/>
          <w:sz w:val="24"/>
          <w:szCs w:val="24"/>
        </w:rPr>
        <w:t xml:space="preserve"> suurempi.</w:t>
      </w:r>
    </w:p>
    <w:p w14:paraId="1C9E96C7" w14:textId="77777777" w:rsidR="002C6AD2" w:rsidRDefault="002C6AD2" w:rsidP="006F75B1">
      <w:pPr>
        <w:jc w:val="both"/>
        <w:rPr>
          <w:rFonts w:ascii="Times New Roman" w:hAnsi="Times New Roman"/>
          <w:sz w:val="24"/>
          <w:szCs w:val="24"/>
        </w:rPr>
      </w:pPr>
      <w:r>
        <w:rPr>
          <w:rFonts w:ascii="Times New Roman" w:hAnsi="Times New Roman"/>
          <w:sz w:val="24"/>
          <w:szCs w:val="24"/>
        </w:rPr>
        <w:t>Taulukossa 6 on</w:t>
      </w:r>
      <w:r w:rsidR="003A7CD5">
        <w:rPr>
          <w:rFonts w:ascii="Times New Roman" w:hAnsi="Times New Roman"/>
          <w:sz w:val="24"/>
          <w:szCs w:val="24"/>
        </w:rPr>
        <w:t xml:space="preserve"> verrattu arvonlisäverotuksen prosentti</w:t>
      </w:r>
      <w:r>
        <w:rPr>
          <w:rFonts w:ascii="Times New Roman" w:hAnsi="Times New Roman"/>
          <w:sz w:val="24"/>
          <w:szCs w:val="24"/>
        </w:rPr>
        <w:t xml:space="preserve">yksikön ja energiaverojen korotusten </w:t>
      </w:r>
      <w:r w:rsidRPr="002C6AD2">
        <w:rPr>
          <w:rFonts w:ascii="Times New Roman" w:hAnsi="Times New Roman"/>
          <w:sz w:val="24"/>
          <w:szCs w:val="24"/>
        </w:rPr>
        <w:t>tulonjakovaikutuksia.</w:t>
      </w:r>
      <w:r w:rsidR="003A7CD5">
        <w:rPr>
          <w:rFonts w:ascii="Times New Roman" w:hAnsi="Times New Roman"/>
          <w:sz w:val="24"/>
          <w:szCs w:val="24"/>
        </w:rPr>
        <w:t xml:space="preserve"> </w:t>
      </w:r>
    </w:p>
    <w:p w14:paraId="0B0B044C" w14:textId="77777777" w:rsidR="00340D05" w:rsidRPr="006F75B1" w:rsidRDefault="00340D05" w:rsidP="00340D05">
      <w:pPr>
        <w:jc w:val="both"/>
        <w:rPr>
          <w:rFonts w:ascii="Times New Roman" w:hAnsi="Times New Roman"/>
          <w:sz w:val="24"/>
          <w:szCs w:val="24"/>
        </w:rPr>
      </w:pPr>
      <w:r w:rsidRPr="006F75B1">
        <w:rPr>
          <w:rFonts w:ascii="Times New Roman" w:hAnsi="Times New Roman"/>
          <w:sz w:val="24"/>
          <w:szCs w:val="24"/>
        </w:rPr>
        <w:t>Energiaverojen vuosien 2011 ja 2012 korotusten vaikutukset Gini-kertoimeen ovat lähes kaksinkertaiset arvonlisäverotuksen korotukseen verrattuna. Kotitalouksien ostovoima supistuu energiaverojen korotuksessa alimmassa tulodesiilissä 74 % enemmän kuin ylemmässä tulo</w:t>
      </w:r>
      <w:r>
        <w:rPr>
          <w:rFonts w:ascii="Times New Roman" w:hAnsi="Times New Roman"/>
          <w:sz w:val="24"/>
          <w:szCs w:val="24"/>
        </w:rPr>
        <w:softHyphen/>
      </w:r>
      <w:r w:rsidRPr="006F75B1">
        <w:rPr>
          <w:rFonts w:ascii="Times New Roman" w:hAnsi="Times New Roman"/>
          <w:sz w:val="24"/>
          <w:szCs w:val="24"/>
        </w:rPr>
        <w:t>desiilissä, kun arvonlisäveron korotuksessa sama suhdeluku on 45 %.</w:t>
      </w:r>
    </w:p>
    <w:p w14:paraId="40B08D55" w14:textId="77777777" w:rsidR="00340D05" w:rsidRPr="006F75B1" w:rsidRDefault="00340D05" w:rsidP="00340D05">
      <w:pPr>
        <w:jc w:val="both"/>
        <w:rPr>
          <w:rFonts w:ascii="Times New Roman" w:hAnsi="Times New Roman"/>
          <w:sz w:val="24"/>
          <w:szCs w:val="24"/>
        </w:rPr>
      </w:pPr>
      <w:r w:rsidRPr="006F75B1">
        <w:rPr>
          <w:rFonts w:ascii="Times New Roman" w:hAnsi="Times New Roman"/>
          <w:sz w:val="24"/>
          <w:szCs w:val="24"/>
        </w:rPr>
        <w:t>Siten voidaan arvioida, että energiaverot ovat regressiivisempiä kuin yleinen arvonlisävero.</w:t>
      </w:r>
    </w:p>
    <w:p w14:paraId="502AD8C9" w14:textId="77777777" w:rsidR="002C6AD2" w:rsidRPr="002C6AD2" w:rsidRDefault="002C6AD2" w:rsidP="004D0652">
      <w:pPr>
        <w:rPr>
          <w:rFonts w:ascii="Times New Roman" w:hAnsi="Times New Roman"/>
          <w:i/>
          <w:sz w:val="24"/>
          <w:szCs w:val="24"/>
        </w:rPr>
      </w:pPr>
      <w:r w:rsidRPr="002C6AD2">
        <w:rPr>
          <w:rFonts w:ascii="Times New Roman" w:hAnsi="Times New Roman"/>
          <w:b/>
          <w:i/>
          <w:sz w:val="24"/>
          <w:szCs w:val="24"/>
        </w:rPr>
        <w:t>Taulukko 6</w:t>
      </w:r>
      <w:r w:rsidRPr="002C6AD2">
        <w:rPr>
          <w:rFonts w:ascii="Times New Roman" w:hAnsi="Times New Roman"/>
          <w:i/>
          <w:sz w:val="24"/>
          <w:szCs w:val="24"/>
        </w:rPr>
        <w:t>. Arvonlisäverojen yhden prosenttiyksikön korotuksen ja energiaverojen korotusten tulonjako</w:t>
      </w:r>
      <w:r w:rsidR="003A7CD5">
        <w:rPr>
          <w:rFonts w:ascii="Times New Roman" w:hAnsi="Times New Roman"/>
          <w:i/>
          <w:sz w:val="24"/>
          <w:szCs w:val="24"/>
        </w:rPr>
        <w:t>vaikutukset ginikertoimen ja tulodesiilien o</w:t>
      </w:r>
      <w:r w:rsidR="006F75B1">
        <w:rPr>
          <w:rFonts w:ascii="Times New Roman" w:hAnsi="Times New Roman"/>
          <w:i/>
          <w:sz w:val="24"/>
          <w:szCs w:val="24"/>
        </w:rPr>
        <w:t>stovoiman muutoksilla mitattuna</w:t>
      </w:r>
    </w:p>
    <w:tbl>
      <w:tblPr>
        <w:tblW w:w="8080" w:type="dxa"/>
        <w:tblInd w:w="55" w:type="dxa"/>
        <w:tblCellMar>
          <w:left w:w="70" w:type="dxa"/>
          <w:right w:w="70" w:type="dxa"/>
        </w:tblCellMar>
        <w:tblLook w:val="04A0" w:firstRow="1" w:lastRow="0" w:firstColumn="1" w:lastColumn="0" w:noHBand="0" w:noVBand="1"/>
      </w:tblPr>
      <w:tblGrid>
        <w:gridCol w:w="3340"/>
        <w:gridCol w:w="1660"/>
        <w:gridCol w:w="1580"/>
        <w:gridCol w:w="1500"/>
      </w:tblGrid>
      <w:tr w:rsidR="007C1F10" w:rsidRPr="007C1F10" w14:paraId="24EF0208" w14:textId="77777777" w:rsidTr="007C1F10">
        <w:trPr>
          <w:trHeight w:val="227"/>
        </w:trPr>
        <w:tc>
          <w:tcPr>
            <w:tcW w:w="3340" w:type="dxa"/>
            <w:tcBorders>
              <w:top w:val="single" w:sz="4" w:space="0" w:color="auto"/>
              <w:left w:val="nil"/>
              <w:bottom w:val="nil"/>
              <w:right w:val="nil"/>
            </w:tcBorders>
            <w:shd w:val="clear" w:color="auto" w:fill="auto"/>
            <w:noWrap/>
            <w:vAlign w:val="bottom"/>
            <w:hideMark/>
          </w:tcPr>
          <w:p w14:paraId="16CB67DF" w14:textId="77777777" w:rsidR="007C1F10" w:rsidRPr="007C1F10" w:rsidRDefault="007C1F10" w:rsidP="007C1F10">
            <w:pPr>
              <w:spacing w:after="0" w:line="240" w:lineRule="auto"/>
              <w:rPr>
                <w:rFonts w:eastAsia="Times New Roman" w:cs="Calibri"/>
                <w:color w:val="000000"/>
                <w:lang w:eastAsia="fi-FI"/>
              </w:rPr>
            </w:pPr>
            <w:r w:rsidRPr="007C1F10">
              <w:rPr>
                <w:rFonts w:eastAsia="Times New Roman" w:cs="Calibri"/>
                <w:color w:val="000000"/>
                <w:szCs w:val="24"/>
                <w:lang w:eastAsia="fi-FI"/>
              </w:rPr>
              <w:t> </w:t>
            </w:r>
          </w:p>
        </w:tc>
        <w:tc>
          <w:tcPr>
            <w:tcW w:w="1660" w:type="dxa"/>
            <w:tcBorders>
              <w:top w:val="single" w:sz="4" w:space="0" w:color="auto"/>
              <w:left w:val="nil"/>
              <w:bottom w:val="nil"/>
              <w:right w:val="nil"/>
            </w:tcBorders>
            <w:shd w:val="clear" w:color="auto" w:fill="auto"/>
            <w:noWrap/>
            <w:vAlign w:val="bottom"/>
            <w:hideMark/>
          </w:tcPr>
          <w:p w14:paraId="145C891E"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Arvonlisäverojen</w:t>
            </w:r>
          </w:p>
        </w:tc>
        <w:tc>
          <w:tcPr>
            <w:tcW w:w="1580" w:type="dxa"/>
            <w:tcBorders>
              <w:top w:val="single" w:sz="4" w:space="0" w:color="auto"/>
              <w:left w:val="nil"/>
              <w:bottom w:val="nil"/>
              <w:right w:val="nil"/>
            </w:tcBorders>
            <w:shd w:val="clear" w:color="auto" w:fill="auto"/>
            <w:noWrap/>
            <w:vAlign w:val="bottom"/>
            <w:hideMark/>
          </w:tcPr>
          <w:p w14:paraId="3D04F2BB"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Energiaverojen</w:t>
            </w:r>
          </w:p>
        </w:tc>
        <w:tc>
          <w:tcPr>
            <w:tcW w:w="1500" w:type="dxa"/>
            <w:tcBorders>
              <w:top w:val="single" w:sz="4" w:space="0" w:color="auto"/>
              <w:left w:val="nil"/>
              <w:bottom w:val="nil"/>
              <w:right w:val="nil"/>
            </w:tcBorders>
            <w:shd w:val="clear" w:color="auto" w:fill="auto"/>
            <w:noWrap/>
            <w:vAlign w:val="bottom"/>
            <w:hideMark/>
          </w:tcPr>
          <w:p w14:paraId="01E0B79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Energiaverojen</w:t>
            </w:r>
          </w:p>
        </w:tc>
      </w:tr>
      <w:tr w:rsidR="007C1F10" w:rsidRPr="007C1F10" w14:paraId="3C922C6A" w14:textId="77777777" w:rsidTr="007C1F10">
        <w:trPr>
          <w:trHeight w:val="227"/>
        </w:trPr>
        <w:tc>
          <w:tcPr>
            <w:tcW w:w="3340" w:type="dxa"/>
            <w:tcBorders>
              <w:top w:val="nil"/>
              <w:left w:val="nil"/>
              <w:bottom w:val="nil"/>
              <w:right w:val="nil"/>
            </w:tcBorders>
            <w:shd w:val="clear" w:color="auto" w:fill="auto"/>
            <w:noWrap/>
            <w:vAlign w:val="bottom"/>
            <w:hideMark/>
          </w:tcPr>
          <w:p w14:paraId="002DA3E9" w14:textId="77777777" w:rsidR="007C1F10" w:rsidRPr="007C1F10" w:rsidRDefault="007C1F10" w:rsidP="007C1F10">
            <w:pPr>
              <w:spacing w:after="0" w:line="240" w:lineRule="auto"/>
              <w:rPr>
                <w:rFonts w:eastAsia="Times New Roman" w:cs="Calibri"/>
                <w:color w:val="000000"/>
                <w:lang w:eastAsia="fi-FI"/>
              </w:rPr>
            </w:pPr>
          </w:p>
        </w:tc>
        <w:tc>
          <w:tcPr>
            <w:tcW w:w="1660" w:type="dxa"/>
            <w:tcBorders>
              <w:top w:val="nil"/>
              <w:left w:val="nil"/>
              <w:bottom w:val="nil"/>
              <w:right w:val="nil"/>
            </w:tcBorders>
            <w:shd w:val="clear" w:color="auto" w:fill="auto"/>
            <w:noWrap/>
            <w:vAlign w:val="bottom"/>
            <w:hideMark/>
          </w:tcPr>
          <w:p w14:paraId="71F5D23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korotus</w:t>
            </w:r>
          </w:p>
        </w:tc>
        <w:tc>
          <w:tcPr>
            <w:tcW w:w="1580" w:type="dxa"/>
            <w:tcBorders>
              <w:top w:val="nil"/>
              <w:left w:val="nil"/>
              <w:bottom w:val="nil"/>
              <w:right w:val="nil"/>
            </w:tcBorders>
            <w:shd w:val="clear" w:color="auto" w:fill="auto"/>
            <w:noWrap/>
            <w:vAlign w:val="bottom"/>
            <w:hideMark/>
          </w:tcPr>
          <w:p w14:paraId="7E8DBCFA"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xml:space="preserve">korotukset </w:t>
            </w:r>
          </w:p>
        </w:tc>
        <w:tc>
          <w:tcPr>
            <w:tcW w:w="1500" w:type="dxa"/>
            <w:tcBorders>
              <w:top w:val="nil"/>
              <w:left w:val="nil"/>
              <w:bottom w:val="nil"/>
              <w:right w:val="nil"/>
            </w:tcBorders>
            <w:shd w:val="clear" w:color="auto" w:fill="auto"/>
            <w:noWrap/>
            <w:vAlign w:val="bottom"/>
            <w:hideMark/>
          </w:tcPr>
          <w:p w14:paraId="1E97B1F1"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lisäkorotukset</w:t>
            </w:r>
          </w:p>
        </w:tc>
      </w:tr>
      <w:tr w:rsidR="007C1F10" w:rsidRPr="007C1F10" w14:paraId="3B231386" w14:textId="77777777" w:rsidTr="007C1F10">
        <w:trPr>
          <w:trHeight w:val="227"/>
        </w:trPr>
        <w:tc>
          <w:tcPr>
            <w:tcW w:w="3340" w:type="dxa"/>
            <w:tcBorders>
              <w:top w:val="nil"/>
              <w:left w:val="nil"/>
              <w:bottom w:val="single" w:sz="4" w:space="0" w:color="auto"/>
              <w:right w:val="nil"/>
            </w:tcBorders>
            <w:shd w:val="clear" w:color="auto" w:fill="auto"/>
            <w:noWrap/>
            <w:vAlign w:val="bottom"/>
            <w:hideMark/>
          </w:tcPr>
          <w:p w14:paraId="4EBEAB62" w14:textId="77777777" w:rsidR="007C1F10" w:rsidRPr="007C1F10" w:rsidRDefault="007C1F10" w:rsidP="007C1F10">
            <w:pPr>
              <w:spacing w:after="0" w:line="240" w:lineRule="auto"/>
              <w:rPr>
                <w:rFonts w:eastAsia="Times New Roman" w:cs="Calibri"/>
                <w:color w:val="000000"/>
                <w:lang w:eastAsia="fi-FI"/>
              </w:rPr>
            </w:pPr>
            <w:r w:rsidRPr="007C1F10">
              <w:rPr>
                <w:rFonts w:eastAsia="Times New Roman" w:cs="Calibri"/>
                <w:color w:val="000000"/>
                <w:lang w:eastAsia="fi-FI"/>
              </w:rPr>
              <w:t> </w:t>
            </w:r>
          </w:p>
        </w:tc>
        <w:tc>
          <w:tcPr>
            <w:tcW w:w="1660" w:type="dxa"/>
            <w:tcBorders>
              <w:top w:val="nil"/>
              <w:left w:val="nil"/>
              <w:bottom w:val="single" w:sz="4" w:space="0" w:color="auto"/>
              <w:right w:val="nil"/>
            </w:tcBorders>
            <w:shd w:val="clear" w:color="auto" w:fill="auto"/>
            <w:noWrap/>
            <w:vAlign w:val="bottom"/>
            <w:hideMark/>
          </w:tcPr>
          <w:p w14:paraId="03C1B66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1 %-yksiköllä</w:t>
            </w:r>
          </w:p>
        </w:tc>
        <w:tc>
          <w:tcPr>
            <w:tcW w:w="1580" w:type="dxa"/>
            <w:tcBorders>
              <w:top w:val="nil"/>
              <w:left w:val="nil"/>
              <w:bottom w:val="single" w:sz="4" w:space="0" w:color="auto"/>
              <w:right w:val="nil"/>
            </w:tcBorders>
            <w:shd w:val="clear" w:color="auto" w:fill="auto"/>
            <w:noWrap/>
            <w:vAlign w:val="bottom"/>
            <w:hideMark/>
          </w:tcPr>
          <w:p w14:paraId="397E70AB" w14:textId="77777777" w:rsidR="007C1F10" w:rsidRPr="007C1F10" w:rsidRDefault="002F744E" w:rsidP="007C1F10">
            <w:pPr>
              <w:spacing w:after="0" w:line="240" w:lineRule="auto"/>
              <w:jc w:val="center"/>
              <w:rPr>
                <w:rFonts w:eastAsia="Times New Roman" w:cs="Calibri"/>
                <w:color w:val="000000"/>
                <w:lang w:eastAsia="fi-FI"/>
              </w:rPr>
            </w:pPr>
            <w:r>
              <w:rPr>
                <w:rFonts w:eastAsia="Times New Roman" w:cs="Calibri"/>
                <w:color w:val="000000"/>
                <w:lang w:eastAsia="fi-FI"/>
              </w:rPr>
              <w:t xml:space="preserve">2011, </w:t>
            </w:r>
            <w:r w:rsidR="007C1F10" w:rsidRPr="007C1F10">
              <w:rPr>
                <w:rFonts w:eastAsia="Times New Roman" w:cs="Calibri"/>
                <w:color w:val="000000"/>
                <w:lang w:eastAsia="fi-FI"/>
              </w:rPr>
              <w:t>2012</w:t>
            </w:r>
          </w:p>
        </w:tc>
        <w:tc>
          <w:tcPr>
            <w:tcW w:w="1500" w:type="dxa"/>
            <w:tcBorders>
              <w:top w:val="nil"/>
              <w:left w:val="nil"/>
              <w:bottom w:val="single" w:sz="4" w:space="0" w:color="auto"/>
              <w:right w:val="nil"/>
            </w:tcBorders>
            <w:shd w:val="clear" w:color="auto" w:fill="auto"/>
            <w:noWrap/>
            <w:vAlign w:val="bottom"/>
            <w:hideMark/>
          </w:tcPr>
          <w:p w14:paraId="42B52A43"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2015</w:t>
            </w:r>
          </w:p>
        </w:tc>
      </w:tr>
      <w:tr w:rsidR="007C1F10" w:rsidRPr="007C1F10" w14:paraId="22BD01E4" w14:textId="77777777" w:rsidTr="007C1F10">
        <w:trPr>
          <w:trHeight w:val="227"/>
        </w:trPr>
        <w:tc>
          <w:tcPr>
            <w:tcW w:w="3340" w:type="dxa"/>
            <w:tcBorders>
              <w:top w:val="nil"/>
              <w:left w:val="nil"/>
              <w:bottom w:val="single" w:sz="4" w:space="0" w:color="auto"/>
              <w:right w:val="nil"/>
            </w:tcBorders>
            <w:shd w:val="clear" w:color="auto" w:fill="auto"/>
            <w:noWrap/>
            <w:vAlign w:val="bottom"/>
            <w:hideMark/>
          </w:tcPr>
          <w:p w14:paraId="4BB0C496" w14:textId="77777777" w:rsidR="007C1F10" w:rsidRPr="007C1F10" w:rsidRDefault="007C1F10" w:rsidP="007C1F10">
            <w:pPr>
              <w:spacing w:after="0" w:line="240" w:lineRule="auto"/>
              <w:rPr>
                <w:rFonts w:eastAsia="Times New Roman" w:cs="Calibri"/>
                <w:color w:val="000000"/>
                <w:lang w:eastAsia="fi-FI"/>
              </w:rPr>
            </w:pPr>
            <w:r w:rsidRPr="007C1F10">
              <w:rPr>
                <w:rFonts w:eastAsia="Times New Roman" w:cs="Calibri"/>
                <w:color w:val="000000"/>
                <w:lang w:eastAsia="fi-FI"/>
              </w:rPr>
              <w:t xml:space="preserve">Gini-kertoimen muutos, %-yks. </w:t>
            </w:r>
          </w:p>
        </w:tc>
        <w:tc>
          <w:tcPr>
            <w:tcW w:w="1660" w:type="dxa"/>
            <w:tcBorders>
              <w:top w:val="nil"/>
              <w:left w:val="nil"/>
              <w:bottom w:val="single" w:sz="4" w:space="0" w:color="auto"/>
              <w:right w:val="nil"/>
            </w:tcBorders>
            <w:shd w:val="clear" w:color="auto" w:fill="auto"/>
            <w:noWrap/>
            <w:vAlign w:val="bottom"/>
            <w:hideMark/>
          </w:tcPr>
          <w:p w14:paraId="57727E37"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0,05</w:t>
            </w:r>
          </w:p>
        </w:tc>
        <w:tc>
          <w:tcPr>
            <w:tcW w:w="1580" w:type="dxa"/>
            <w:tcBorders>
              <w:top w:val="nil"/>
              <w:left w:val="nil"/>
              <w:bottom w:val="single" w:sz="4" w:space="0" w:color="auto"/>
              <w:right w:val="nil"/>
            </w:tcBorders>
            <w:shd w:val="clear" w:color="auto" w:fill="auto"/>
            <w:noWrap/>
            <w:vAlign w:val="bottom"/>
            <w:hideMark/>
          </w:tcPr>
          <w:p w14:paraId="5E60E80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0,09</w:t>
            </w:r>
          </w:p>
        </w:tc>
        <w:tc>
          <w:tcPr>
            <w:tcW w:w="1500" w:type="dxa"/>
            <w:tcBorders>
              <w:top w:val="nil"/>
              <w:left w:val="nil"/>
              <w:bottom w:val="single" w:sz="4" w:space="0" w:color="auto"/>
              <w:right w:val="nil"/>
            </w:tcBorders>
            <w:shd w:val="clear" w:color="auto" w:fill="auto"/>
            <w:noWrap/>
            <w:vAlign w:val="bottom"/>
            <w:hideMark/>
          </w:tcPr>
          <w:p w14:paraId="46B1815F"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0,02</w:t>
            </w:r>
          </w:p>
        </w:tc>
      </w:tr>
      <w:tr w:rsidR="007C1F10" w:rsidRPr="007C1F10" w14:paraId="10A366EA" w14:textId="77777777" w:rsidTr="007C1F10">
        <w:trPr>
          <w:trHeight w:val="227"/>
        </w:trPr>
        <w:tc>
          <w:tcPr>
            <w:tcW w:w="5000" w:type="dxa"/>
            <w:gridSpan w:val="2"/>
            <w:tcBorders>
              <w:top w:val="nil"/>
              <w:left w:val="nil"/>
              <w:bottom w:val="nil"/>
              <w:right w:val="nil"/>
            </w:tcBorders>
            <w:shd w:val="clear" w:color="auto" w:fill="auto"/>
            <w:noWrap/>
            <w:vAlign w:val="bottom"/>
            <w:hideMark/>
          </w:tcPr>
          <w:p w14:paraId="47FE3C47" w14:textId="77777777" w:rsidR="007C1F10" w:rsidRPr="007C1F10" w:rsidRDefault="007C1F10" w:rsidP="007C1F10">
            <w:pPr>
              <w:spacing w:after="0" w:line="240" w:lineRule="auto"/>
              <w:rPr>
                <w:rFonts w:eastAsia="Times New Roman" w:cs="Calibri"/>
                <w:color w:val="000000"/>
                <w:lang w:eastAsia="fi-FI"/>
              </w:rPr>
            </w:pPr>
            <w:r>
              <w:rPr>
                <w:rFonts w:eastAsia="Times New Roman" w:cs="Calibri"/>
                <w:color w:val="000000"/>
                <w:lang w:eastAsia="fi-FI"/>
              </w:rPr>
              <w:t>Ostovoiman muutos desiileittäin, %</w:t>
            </w:r>
          </w:p>
        </w:tc>
        <w:tc>
          <w:tcPr>
            <w:tcW w:w="1580" w:type="dxa"/>
            <w:tcBorders>
              <w:top w:val="nil"/>
              <w:left w:val="nil"/>
              <w:bottom w:val="nil"/>
              <w:right w:val="nil"/>
            </w:tcBorders>
            <w:shd w:val="clear" w:color="auto" w:fill="auto"/>
            <w:noWrap/>
            <w:vAlign w:val="bottom"/>
            <w:hideMark/>
          </w:tcPr>
          <w:p w14:paraId="7F5B4F53" w14:textId="77777777" w:rsidR="007C1F10" w:rsidRPr="007C1F10" w:rsidRDefault="007C1F10" w:rsidP="007C1F10">
            <w:pPr>
              <w:spacing w:after="0" w:line="240" w:lineRule="auto"/>
              <w:jc w:val="center"/>
              <w:rPr>
                <w:rFonts w:eastAsia="Times New Roman" w:cs="Calibri"/>
                <w:color w:val="000000"/>
                <w:lang w:eastAsia="fi-FI"/>
              </w:rPr>
            </w:pPr>
          </w:p>
        </w:tc>
        <w:tc>
          <w:tcPr>
            <w:tcW w:w="1500" w:type="dxa"/>
            <w:tcBorders>
              <w:top w:val="nil"/>
              <w:left w:val="nil"/>
              <w:bottom w:val="nil"/>
              <w:right w:val="nil"/>
            </w:tcBorders>
            <w:shd w:val="clear" w:color="auto" w:fill="auto"/>
            <w:noWrap/>
            <w:vAlign w:val="bottom"/>
            <w:hideMark/>
          </w:tcPr>
          <w:p w14:paraId="6CFF13B1" w14:textId="77777777" w:rsidR="007C1F10" w:rsidRPr="007C1F10" w:rsidRDefault="007C1F10" w:rsidP="007C1F10">
            <w:pPr>
              <w:spacing w:after="0" w:line="240" w:lineRule="auto"/>
              <w:jc w:val="center"/>
              <w:rPr>
                <w:rFonts w:eastAsia="Times New Roman" w:cs="Calibri"/>
                <w:color w:val="000000"/>
                <w:lang w:eastAsia="fi-FI"/>
              </w:rPr>
            </w:pPr>
          </w:p>
        </w:tc>
      </w:tr>
      <w:tr w:rsidR="007C1F10" w:rsidRPr="007C1F10" w14:paraId="1B3AE909" w14:textId="77777777" w:rsidTr="007C1F10">
        <w:trPr>
          <w:trHeight w:val="227"/>
        </w:trPr>
        <w:tc>
          <w:tcPr>
            <w:tcW w:w="3340" w:type="dxa"/>
            <w:tcBorders>
              <w:top w:val="nil"/>
              <w:left w:val="nil"/>
              <w:bottom w:val="nil"/>
              <w:right w:val="nil"/>
            </w:tcBorders>
            <w:shd w:val="clear" w:color="auto" w:fill="auto"/>
            <w:noWrap/>
            <w:vAlign w:val="bottom"/>
            <w:hideMark/>
          </w:tcPr>
          <w:p w14:paraId="67AFCAFD"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1. desiili</w:t>
            </w:r>
          </w:p>
        </w:tc>
        <w:tc>
          <w:tcPr>
            <w:tcW w:w="1660" w:type="dxa"/>
            <w:tcBorders>
              <w:top w:val="nil"/>
              <w:left w:val="nil"/>
              <w:bottom w:val="nil"/>
              <w:right w:val="nil"/>
            </w:tcBorders>
            <w:shd w:val="clear" w:color="auto" w:fill="auto"/>
            <w:noWrap/>
            <w:vAlign w:val="bottom"/>
            <w:hideMark/>
          </w:tcPr>
          <w:p w14:paraId="5E0B3DA6"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-0,68</w:t>
            </w:r>
          </w:p>
        </w:tc>
        <w:tc>
          <w:tcPr>
            <w:tcW w:w="1580" w:type="dxa"/>
            <w:tcBorders>
              <w:top w:val="nil"/>
              <w:left w:val="nil"/>
              <w:bottom w:val="nil"/>
              <w:right w:val="nil"/>
            </w:tcBorders>
            <w:shd w:val="clear" w:color="auto" w:fill="auto"/>
            <w:noWrap/>
            <w:vAlign w:val="bottom"/>
            <w:hideMark/>
          </w:tcPr>
          <w:p w14:paraId="7048FF2A"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-1,01</w:t>
            </w:r>
          </w:p>
        </w:tc>
        <w:tc>
          <w:tcPr>
            <w:tcW w:w="1500" w:type="dxa"/>
            <w:tcBorders>
              <w:top w:val="nil"/>
              <w:left w:val="nil"/>
              <w:bottom w:val="nil"/>
              <w:right w:val="nil"/>
            </w:tcBorders>
            <w:shd w:val="clear" w:color="auto" w:fill="auto"/>
            <w:noWrap/>
            <w:vAlign w:val="bottom"/>
            <w:hideMark/>
          </w:tcPr>
          <w:p w14:paraId="3B71E3BF"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-0,26</w:t>
            </w:r>
          </w:p>
        </w:tc>
      </w:tr>
      <w:tr w:rsidR="007C1F10" w:rsidRPr="007C1F10" w14:paraId="3669DBAF" w14:textId="77777777" w:rsidTr="007C1F10">
        <w:trPr>
          <w:trHeight w:val="227"/>
        </w:trPr>
        <w:tc>
          <w:tcPr>
            <w:tcW w:w="3340" w:type="dxa"/>
            <w:tcBorders>
              <w:top w:val="nil"/>
              <w:left w:val="nil"/>
              <w:bottom w:val="nil"/>
              <w:right w:val="nil"/>
            </w:tcBorders>
            <w:shd w:val="clear" w:color="auto" w:fill="auto"/>
            <w:noWrap/>
            <w:vAlign w:val="bottom"/>
            <w:hideMark/>
          </w:tcPr>
          <w:p w14:paraId="3E0ABF28"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2. desiili</w:t>
            </w:r>
          </w:p>
        </w:tc>
        <w:tc>
          <w:tcPr>
            <w:tcW w:w="1660" w:type="dxa"/>
            <w:tcBorders>
              <w:top w:val="nil"/>
              <w:left w:val="nil"/>
              <w:bottom w:val="nil"/>
              <w:right w:val="nil"/>
            </w:tcBorders>
            <w:shd w:val="clear" w:color="auto" w:fill="auto"/>
            <w:noWrap/>
            <w:vAlign w:val="bottom"/>
            <w:hideMark/>
          </w:tcPr>
          <w:p w14:paraId="3D5446E9"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-0,58</w:t>
            </w:r>
          </w:p>
        </w:tc>
        <w:tc>
          <w:tcPr>
            <w:tcW w:w="1580" w:type="dxa"/>
            <w:tcBorders>
              <w:top w:val="nil"/>
              <w:left w:val="nil"/>
              <w:bottom w:val="nil"/>
              <w:right w:val="nil"/>
            </w:tcBorders>
            <w:shd w:val="clear" w:color="auto" w:fill="auto"/>
            <w:noWrap/>
            <w:vAlign w:val="bottom"/>
            <w:hideMark/>
          </w:tcPr>
          <w:p w14:paraId="65312944"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-0,79</w:t>
            </w:r>
          </w:p>
        </w:tc>
        <w:tc>
          <w:tcPr>
            <w:tcW w:w="1500" w:type="dxa"/>
            <w:tcBorders>
              <w:top w:val="nil"/>
              <w:left w:val="nil"/>
              <w:bottom w:val="nil"/>
              <w:right w:val="nil"/>
            </w:tcBorders>
            <w:shd w:val="clear" w:color="auto" w:fill="auto"/>
            <w:noWrap/>
            <w:vAlign w:val="bottom"/>
            <w:hideMark/>
          </w:tcPr>
          <w:p w14:paraId="2A0900A1"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-0,19</w:t>
            </w:r>
          </w:p>
        </w:tc>
      </w:tr>
      <w:tr w:rsidR="007C1F10" w:rsidRPr="007C1F10" w14:paraId="5F058009" w14:textId="77777777" w:rsidTr="007C1F10">
        <w:trPr>
          <w:trHeight w:val="227"/>
        </w:trPr>
        <w:tc>
          <w:tcPr>
            <w:tcW w:w="3340" w:type="dxa"/>
            <w:tcBorders>
              <w:top w:val="nil"/>
              <w:left w:val="nil"/>
              <w:bottom w:val="nil"/>
              <w:right w:val="nil"/>
            </w:tcBorders>
            <w:shd w:val="clear" w:color="auto" w:fill="auto"/>
            <w:noWrap/>
            <w:vAlign w:val="bottom"/>
            <w:hideMark/>
          </w:tcPr>
          <w:p w14:paraId="161D8F16"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3. desiili</w:t>
            </w:r>
          </w:p>
        </w:tc>
        <w:tc>
          <w:tcPr>
            <w:tcW w:w="1660" w:type="dxa"/>
            <w:tcBorders>
              <w:top w:val="nil"/>
              <w:left w:val="nil"/>
              <w:bottom w:val="nil"/>
              <w:right w:val="nil"/>
            </w:tcBorders>
            <w:shd w:val="clear" w:color="auto" w:fill="auto"/>
            <w:noWrap/>
            <w:vAlign w:val="bottom"/>
            <w:hideMark/>
          </w:tcPr>
          <w:p w14:paraId="0706EF8D"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-0,54</w:t>
            </w:r>
          </w:p>
        </w:tc>
        <w:tc>
          <w:tcPr>
            <w:tcW w:w="1580" w:type="dxa"/>
            <w:tcBorders>
              <w:top w:val="nil"/>
              <w:left w:val="nil"/>
              <w:bottom w:val="nil"/>
              <w:right w:val="nil"/>
            </w:tcBorders>
            <w:shd w:val="clear" w:color="auto" w:fill="auto"/>
            <w:noWrap/>
            <w:vAlign w:val="bottom"/>
            <w:hideMark/>
          </w:tcPr>
          <w:p w14:paraId="30209C50"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-0,71</w:t>
            </w:r>
          </w:p>
        </w:tc>
        <w:tc>
          <w:tcPr>
            <w:tcW w:w="1500" w:type="dxa"/>
            <w:tcBorders>
              <w:top w:val="nil"/>
              <w:left w:val="nil"/>
              <w:bottom w:val="nil"/>
              <w:right w:val="nil"/>
            </w:tcBorders>
            <w:shd w:val="clear" w:color="auto" w:fill="auto"/>
            <w:noWrap/>
            <w:vAlign w:val="bottom"/>
            <w:hideMark/>
          </w:tcPr>
          <w:p w14:paraId="6E19635B"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-0,18</w:t>
            </w:r>
          </w:p>
        </w:tc>
      </w:tr>
      <w:tr w:rsidR="007C1F10" w:rsidRPr="007C1F10" w14:paraId="5A305725" w14:textId="77777777" w:rsidTr="007C1F10">
        <w:trPr>
          <w:trHeight w:val="227"/>
        </w:trPr>
        <w:tc>
          <w:tcPr>
            <w:tcW w:w="3340" w:type="dxa"/>
            <w:tcBorders>
              <w:top w:val="nil"/>
              <w:left w:val="nil"/>
              <w:bottom w:val="nil"/>
              <w:right w:val="nil"/>
            </w:tcBorders>
            <w:shd w:val="clear" w:color="auto" w:fill="auto"/>
            <w:noWrap/>
            <w:vAlign w:val="bottom"/>
            <w:hideMark/>
          </w:tcPr>
          <w:p w14:paraId="710DBB59"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4. desiili</w:t>
            </w:r>
          </w:p>
        </w:tc>
        <w:tc>
          <w:tcPr>
            <w:tcW w:w="1660" w:type="dxa"/>
            <w:tcBorders>
              <w:top w:val="nil"/>
              <w:left w:val="nil"/>
              <w:bottom w:val="nil"/>
              <w:right w:val="nil"/>
            </w:tcBorders>
            <w:shd w:val="clear" w:color="auto" w:fill="auto"/>
            <w:noWrap/>
            <w:vAlign w:val="bottom"/>
            <w:hideMark/>
          </w:tcPr>
          <w:p w14:paraId="36D93C9E"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-0,54</w:t>
            </w:r>
          </w:p>
        </w:tc>
        <w:tc>
          <w:tcPr>
            <w:tcW w:w="1580" w:type="dxa"/>
            <w:tcBorders>
              <w:top w:val="nil"/>
              <w:left w:val="nil"/>
              <w:bottom w:val="nil"/>
              <w:right w:val="nil"/>
            </w:tcBorders>
            <w:shd w:val="clear" w:color="auto" w:fill="auto"/>
            <w:noWrap/>
            <w:vAlign w:val="bottom"/>
            <w:hideMark/>
          </w:tcPr>
          <w:p w14:paraId="46F759D5"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-0,70</w:t>
            </w:r>
          </w:p>
        </w:tc>
        <w:tc>
          <w:tcPr>
            <w:tcW w:w="1500" w:type="dxa"/>
            <w:tcBorders>
              <w:top w:val="nil"/>
              <w:left w:val="nil"/>
              <w:bottom w:val="nil"/>
              <w:right w:val="nil"/>
            </w:tcBorders>
            <w:shd w:val="clear" w:color="auto" w:fill="auto"/>
            <w:noWrap/>
            <w:vAlign w:val="bottom"/>
            <w:hideMark/>
          </w:tcPr>
          <w:p w14:paraId="1A3E1174"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-0,17</w:t>
            </w:r>
          </w:p>
        </w:tc>
      </w:tr>
      <w:tr w:rsidR="007C1F10" w:rsidRPr="007C1F10" w14:paraId="2FCD45A5" w14:textId="77777777" w:rsidTr="007C1F10">
        <w:trPr>
          <w:trHeight w:val="227"/>
        </w:trPr>
        <w:tc>
          <w:tcPr>
            <w:tcW w:w="3340" w:type="dxa"/>
            <w:tcBorders>
              <w:top w:val="nil"/>
              <w:left w:val="nil"/>
              <w:bottom w:val="nil"/>
              <w:right w:val="nil"/>
            </w:tcBorders>
            <w:shd w:val="clear" w:color="auto" w:fill="auto"/>
            <w:noWrap/>
            <w:vAlign w:val="bottom"/>
            <w:hideMark/>
          </w:tcPr>
          <w:p w14:paraId="0B8C15A3"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5. desiili</w:t>
            </w:r>
          </w:p>
        </w:tc>
        <w:tc>
          <w:tcPr>
            <w:tcW w:w="1660" w:type="dxa"/>
            <w:tcBorders>
              <w:top w:val="nil"/>
              <w:left w:val="nil"/>
              <w:bottom w:val="nil"/>
              <w:right w:val="nil"/>
            </w:tcBorders>
            <w:shd w:val="clear" w:color="auto" w:fill="auto"/>
            <w:noWrap/>
            <w:vAlign w:val="bottom"/>
            <w:hideMark/>
          </w:tcPr>
          <w:p w14:paraId="1826D6F9"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-0,51</w:t>
            </w:r>
          </w:p>
        </w:tc>
        <w:tc>
          <w:tcPr>
            <w:tcW w:w="1580" w:type="dxa"/>
            <w:tcBorders>
              <w:top w:val="nil"/>
              <w:left w:val="nil"/>
              <w:bottom w:val="nil"/>
              <w:right w:val="nil"/>
            </w:tcBorders>
            <w:shd w:val="clear" w:color="auto" w:fill="auto"/>
            <w:noWrap/>
            <w:vAlign w:val="bottom"/>
            <w:hideMark/>
          </w:tcPr>
          <w:p w14:paraId="2511D03F"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-0,65</w:t>
            </w:r>
          </w:p>
        </w:tc>
        <w:tc>
          <w:tcPr>
            <w:tcW w:w="1500" w:type="dxa"/>
            <w:tcBorders>
              <w:top w:val="nil"/>
              <w:left w:val="nil"/>
              <w:bottom w:val="nil"/>
              <w:right w:val="nil"/>
            </w:tcBorders>
            <w:shd w:val="clear" w:color="auto" w:fill="auto"/>
            <w:noWrap/>
            <w:vAlign w:val="bottom"/>
            <w:hideMark/>
          </w:tcPr>
          <w:p w14:paraId="376EC6CC"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-0,16</w:t>
            </w:r>
          </w:p>
        </w:tc>
      </w:tr>
      <w:tr w:rsidR="007C1F10" w:rsidRPr="007C1F10" w14:paraId="7AFCAF1A" w14:textId="77777777" w:rsidTr="007C1F10">
        <w:trPr>
          <w:trHeight w:val="227"/>
        </w:trPr>
        <w:tc>
          <w:tcPr>
            <w:tcW w:w="3340" w:type="dxa"/>
            <w:tcBorders>
              <w:top w:val="nil"/>
              <w:left w:val="nil"/>
              <w:bottom w:val="nil"/>
              <w:right w:val="nil"/>
            </w:tcBorders>
            <w:shd w:val="clear" w:color="auto" w:fill="auto"/>
            <w:noWrap/>
            <w:vAlign w:val="bottom"/>
            <w:hideMark/>
          </w:tcPr>
          <w:p w14:paraId="70F593FE"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6. desiili</w:t>
            </w:r>
          </w:p>
        </w:tc>
        <w:tc>
          <w:tcPr>
            <w:tcW w:w="1660" w:type="dxa"/>
            <w:tcBorders>
              <w:top w:val="nil"/>
              <w:left w:val="nil"/>
              <w:bottom w:val="nil"/>
              <w:right w:val="nil"/>
            </w:tcBorders>
            <w:shd w:val="clear" w:color="auto" w:fill="auto"/>
            <w:noWrap/>
            <w:vAlign w:val="bottom"/>
            <w:hideMark/>
          </w:tcPr>
          <w:p w14:paraId="183B7B4D"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-0,50</w:t>
            </w:r>
          </w:p>
        </w:tc>
        <w:tc>
          <w:tcPr>
            <w:tcW w:w="1580" w:type="dxa"/>
            <w:tcBorders>
              <w:top w:val="nil"/>
              <w:left w:val="nil"/>
              <w:bottom w:val="nil"/>
              <w:right w:val="nil"/>
            </w:tcBorders>
            <w:shd w:val="clear" w:color="auto" w:fill="auto"/>
            <w:noWrap/>
            <w:vAlign w:val="bottom"/>
            <w:hideMark/>
          </w:tcPr>
          <w:p w14:paraId="3CF5EE8C"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-0,62</w:t>
            </w:r>
          </w:p>
        </w:tc>
        <w:tc>
          <w:tcPr>
            <w:tcW w:w="1500" w:type="dxa"/>
            <w:tcBorders>
              <w:top w:val="nil"/>
              <w:left w:val="nil"/>
              <w:bottom w:val="nil"/>
              <w:right w:val="nil"/>
            </w:tcBorders>
            <w:shd w:val="clear" w:color="auto" w:fill="auto"/>
            <w:noWrap/>
            <w:vAlign w:val="bottom"/>
            <w:hideMark/>
          </w:tcPr>
          <w:p w14:paraId="41CD45D4"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-0,14</w:t>
            </w:r>
          </w:p>
        </w:tc>
      </w:tr>
      <w:tr w:rsidR="007C1F10" w:rsidRPr="007C1F10" w14:paraId="184AF9B0" w14:textId="77777777" w:rsidTr="007C1F10">
        <w:trPr>
          <w:trHeight w:val="227"/>
        </w:trPr>
        <w:tc>
          <w:tcPr>
            <w:tcW w:w="3340" w:type="dxa"/>
            <w:tcBorders>
              <w:top w:val="nil"/>
              <w:left w:val="nil"/>
              <w:bottom w:val="nil"/>
              <w:right w:val="nil"/>
            </w:tcBorders>
            <w:shd w:val="clear" w:color="auto" w:fill="auto"/>
            <w:noWrap/>
            <w:vAlign w:val="bottom"/>
            <w:hideMark/>
          </w:tcPr>
          <w:p w14:paraId="4AD67786"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7. desiili</w:t>
            </w:r>
          </w:p>
        </w:tc>
        <w:tc>
          <w:tcPr>
            <w:tcW w:w="1660" w:type="dxa"/>
            <w:tcBorders>
              <w:top w:val="nil"/>
              <w:left w:val="nil"/>
              <w:bottom w:val="nil"/>
              <w:right w:val="nil"/>
            </w:tcBorders>
            <w:shd w:val="clear" w:color="auto" w:fill="auto"/>
            <w:noWrap/>
            <w:vAlign w:val="bottom"/>
            <w:hideMark/>
          </w:tcPr>
          <w:p w14:paraId="20B42BEB"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-0,49</w:t>
            </w:r>
          </w:p>
        </w:tc>
        <w:tc>
          <w:tcPr>
            <w:tcW w:w="1580" w:type="dxa"/>
            <w:tcBorders>
              <w:top w:val="nil"/>
              <w:left w:val="nil"/>
              <w:bottom w:val="nil"/>
              <w:right w:val="nil"/>
            </w:tcBorders>
            <w:shd w:val="clear" w:color="auto" w:fill="auto"/>
            <w:noWrap/>
            <w:vAlign w:val="bottom"/>
            <w:hideMark/>
          </w:tcPr>
          <w:p w14:paraId="3B05A0DA"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-0,57</w:t>
            </w:r>
          </w:p>
        </w:tc>
        <w:tc>
          <w:tcPr>
            <w:tcW w:w="1500" w:type="dxa"/>
            <w:tcBorders>
              <w:top w:val="nil"/>
              <w:left w:val="nil"/>
              <w:bottom w:val="nil"/>
              <w:right w:val="nil"/>
            </w:tcBorders>
            <w:shd w:val="clear" w:color="auto" w:fill="auto"/>
            <w:noWrap/>
            <w:vAlign w:val="bottom"/>
            <w:hideMark/>
          </w:tcPr>
          <w:p w14:paraId="61F893CD"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-0,14</w:t>
            </w:r>
          </w:p>
        </w:tc>
      </w:tr>
      <w:tr w:rsidR="007C1F10" w:rsidRPr="007C1F10" w14:paraId="183DB279" w14:textId="77777777" w:rsidTr="007C1F10">
        <w:trPr>
          <w:trHeight w:val="227"/>
        </w:trPr>
        <w:tc>
          <w:tcPr>
            <w:tcW w:w="3340" w:type="dxa"/>
            <w:tcBorders>
              <w:top w:val="nil"/>
              <w:left w:val="nil"/>
              <w:bottom w:val="nil"/>
              <w:right w:val="nil"/>
            </w:tcBorders>
            <w:shd w:val="clear" w:color="auto" w:fill="auto"/>
            <w:noWrap/>
            <w:vAlign w:val="bottom"/>
            <w:hideMark/>
          </w:tcPr>
          <w:p w14:paraId="0F59A317"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8. desiili</w:t>
            </w:r>
          </w:p>
        </w:tc>
        <w:tc>
          <w:tcPr>
            <w:tcW w:w="1660" w:type="dxa"/>
            <w:tcBorders>
              <w:top w:val="nil"/>
              <w:left w:val="nil"/>
              <w:bottom w:val="nil"/>
              <w:right w:val="nil"/>
            </w:tcBorders>
            <w:shd w:val="clear" w:color="auto" w:fill="auto"/>
            <w:noWrap/>
            <w:vAlign w:val="bottom"/>
            <w:hideMark/>
          </w:tcPr>
          <w:p w14:paraId="7CD26E23"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-0,47</w:t>
            </w:r>
          </w:p>
        </w:tc>
        <w:tc>
          <w:tcPr>
            <w:tcW w:w="1580" w:type="dxa"/>
            <w:tcBorders>
              <w:top w:val="nil"/>
              <w:left w:val="nil"/>
              <w:bottom w:val="nil"/>
              <w:right w:val="nil"/>
            </w:tcBorders>
            <w:shd w:val="clear" w:color="auto" w:fill="auto"/>
            <w:noWrap/>
            <w:vAlign w:val="bottom"/>
            <w:hideMark/>
          </w:tcPr>
          <w:p w14:paraId="2FD82B2E"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-0,53</w:t>
            </w:r>
          </w:p>
        </w:tc>
        <w:tc>
          <w:tcPr>
            <w:tcW w:w="1500" w:type="dxa"/>
            <w:tcBorders>
              <w:top w:val="nil"/>
              <w:left w:val="nil"/>
              <w:bottom w:val="nil"/>
              <w:right w:val="nil"/>
            </w:tcBorders>
            <w:shd w:val="clear" w:color="auto" w:fill="auto"/>
            <w:noWrap/>
            <w:vAlign w:val="bottom"/>
            <w:hideMark/>
          </w:tcPr>
          <w:p w14:paraId="12FD3DEF"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-0,13</w:t>
            </w:r>
          </w:p>
        </w:tc>
      </w:tr>
      <w:tr w:rsidR="007C1F10" w:rsidRPr="007C1F10" w14:paraId="74A2D9B4" w14:textId="77777777" w:rsidTr="007C1F10">
        <w:trPr>
          <w:trHeight w:val="227"/>
        </w:trPr>
        <w:tc>
          <w:tcPr>
            <w:tcW w:w="3340" w:type="dxa"/>
            <w:tcBorders>
              <w:top w:val="nil"/>
              <w:left w:val="nil"/>
              <w:bottom w:val="nil"/>
              <w:right w:val="nil"/>
            </w:tcBorders>
            <w:shd w:val="clear" w:color="auto" w:fill="auto"/>
            <w:noWrap/>
            <w:vAlign w:val="bottom"/>
            <w:hideMark/>
          </w:tcPr>
          <w:p w14:paraId="11F48BB9"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9. desiili</w:t>
            </w:r>
          </w:p>
        </w:tc>
        <w:tc>
          <w:tcPr>
            <w:tcW w:w="1660" w:type="dxa"/>
            <w:tcBorders>
              <w:top w:val="nil"/>
              <w:left w:val="nil"/>
              <w:bottom w:val="nil"/>
              <w:right w:val="nil"/>
            </w:tcBorders>
            <w:shd w:val="clear" w:color="auto" w:fill="auto"/>
            <w:noWrap/>
            <w:vAlign w:val="bottom"/>
            <w:hideMark/>
          </w:tcPr>
          <w:p w14:paraId="6DA101C9"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-0,47</w:t>
            </w:r>
          </w:p>
        </w:tc>
        <w:tc>
          <w:tcPr>
            <w:tcW w:w="1580" w:type="dxa"/>
            <w:tcBorders>
              <w:top w:val="nil"/>
              <w:left w:val="nil"/>
              <w:bottom w:val="nil"/>
              <w:right w:val="nil"/>
            </w:tcBorders>
            <w:shd w:val="clear" w:color="auto" w:fill="auto"/>
            <w:noWrap/>
            <w:vAlign w:val="bottom"/>
            <w:hideMark/>
          </w:tcPr>
          <w:p w14:paraId="54CE6418"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-0,51</w:t>
            </w:r>
          </w:p>
        </w:tc>
        <w:tc>
          <w:tcPr>
            <w:tcW w:w="1500" w:type="dxa"/>
            <w:tcBorders>
              <w:top w:val="nil"/>
              <w:left w:val="nil"/>
              <w:bottom w:val="nil"/>
              <w:right w:val="nil"/>
            </w:tcBorders>
            <w:shd w:val="clear" w:color="auto" w:fill="auto"/>
            <w:noWrap/>
            <w:vAlign w:val="bottom"/>
            <w:hideMark/>
          </w:tcPr>
          <w:p w14:paraId="0CE2D21A"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-0,12</w:t>
            </w:r>
          </w:p>
        </w:tc>
      </w:tr>
      <w:tr w:rsidR="007C1F10" w:rsidRPr="007C1F10" w14:paraId="595F8433" w14:textId="77777777" w:rsidTr="007C1F10">
        <w:trPr>
          <w:trHeight w:val="227"/>
        </w:trPr>
        <w:tc>
          <w:tcPr>
            <w:tcW w:w="3340" w:type="dxa"/>
            <w:tcBorders>
              <w:top w:val="nil"/>
              <w:left w:val="nil"/>
              <w:bottom w:val="nil"/>
              <w:right w:val="nil"/>
            </w:tcBorders>
            <w:shd w:val="clear" w:color="auto" w:fill="auto"/>
            <w:noWrap/>
            <w:vAlign w:val="bottom"/>
            <w:hideMark/>
          </w:tcPr>
          <w:p w14:paraId="2686B951"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10. desiili</w:t>
            </w:r>
          </w:p>
        </w:tc>
        <w:tc>
          <w:tcPr>
            <w:tcW w:w="1660" w:type="dxa"/>
            <w:tcBorders>
              <w:top w:val="nil"/>
              <w:left w:val="nil"/>
              <w:bottom w:val="nil"/>
              <w:right w:val="nil"/>
            </w:tcBorders>
            <w:shd w:val="clear" w:color="auto" w:fill="auto"/>
            <w:noWrap/>
            <w:vAlign w:val="bottom"/>
            <w:hideMark/>
          </w:tcPr>
          <w:p w14:paraId="198013B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-0,34</w:t>
            </w:r>
          </w:p>
        </w:tc>
        <w:tc>
          <w:tcPr>
            <w:tcW w:w="1580" w:type="dxa"/>
            <w:tcBorders>
              <w:top w:val="nil"/>
              <w:left w:val="nil"/>
              <w:bottom w:val="nil"/>
              <w:right w:val="nil"/>
            </w:tcBorders>
            <w:shd w:val="clear" w:color="auto" w:fill="auto"/>
            <w:noWrap/>
            <w:vAlign w:val="bottom"/>
            <w:hideMark/>
          </w:tcPr>
          <w:p w14:paraId="61806123"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-0,41</w:t>
            </w:r>
          </w:p>
        </w:tc>
        <w:tc>
          <w:tcPr>
            <w:tcW w:w="1500" w:type="dxa"/>
            <w:tcBorders>
              <w:top w:val="nil"/>
              <w:left w:val="nil"/>
              <w:bottom w:val="nil"/>
              <w:right w:val="nil"/>
            </w:tcBorders>
            <w:shd w:val="clear" w:color="auto" w:fill="auto"/>
            <w:noWrap/>
            <w:vAlign w:val="bottom"/>
            <w:hideMark/>
          </w:tcPr>
          <w:p w14:paraId="151B74E0"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-0,09</w:t>
            </w:r>
          </w:p>
        </w:tc>
      </w:tr>
      <w:tr w:rsidR="007C1F10" w:rsidRPr="007C1F10" w14:paraId="03A983AE" w14:textId="77777777" w:rsidTr="007C1F10">
        <w:trPr>
          <w:trHeight w:val="227"/>
        </w:trPr>
        <w:tc>
          <w:tcPr>
            <w:tcW w:w="3340" w:type="dxa"/>
            <w:tcBorders>
              <w:top w:val="nil"/>
              <w:left w:val="nil"/>
              <w:bottom w:val="single" w:sz="4" w:space="0" w:color="auto"/>
              <w:right w:val="nil"/>
            </w:tcBorders>
            <w:shd w:val="clear" w:color="auto" w:fill="auto"/>
            <w:noWrap/>
            <w:vAlign w:val="bottom"/>
            <w:hideMark/>
          </w:tcPr>
          <w:p w14:paraId="405F75AA" w14:textId="77777777" w:rsidR="007C1F10" w:rsidRPr="007C1F10" w:rsidRDefault="007C1F10" w:rsidP="007C1F10">
            <w:pPr>
              <w:spacing w:after="0" w:line="240" w:lineRule="auto"/>
              <w:ind w:firstLineChars="500" w:firstLine="1100"/>
              <w:rPr>
                <w:rFonts w:eastAsia="Times New Roman" w:cs="Calibri"/>
                <w:color w:val="000000"/>
                <w:lang w:eastAsia="fi-FI"/>
              </w:rPr>
            </w:pPr>
            <w:r w:rsidRPr="007C1F10">
              <w:rPr>
                <w:rFonts w:eastAsia="Times New Roman" w:cs="Calibri"/>
                <w:color w:val="000000"/>
                <w:lang w:eastAsia="fi-FI"/>
              </w:rPr>
              <w:t>Keskimäärin</w:t>
            </w:r>
          </w:p>
        </w:tc>
        <w:tc>
          <w:tcPr>
            <w:tcW w:w="1660" w:type="dxa"/>
            <w:tcBorders>
              <w:top w:val="nil"/>
              <w:left w:val="nil"/>
              <w:bottom w:val="single" w:sz="4" w:space="0" w:color="auto"/>
              <w:right w:val="nil"/>
            </w:tcBorders>
            <w:shd w:val="clear" w:color="auto" w:fill="auto"/>
            <w:noWrap/>
            <w:vAlign w:val="bottom"/>
            <w:hideMark/>
          </w:tcPr>
          <w:p w14:paraId="2931CC22"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 -0,47</w:t>
            </w:r>
          </w:p>
        </w:tc>
        <w:tc>
          <w:tcPr>
            <w:tcW w:w="1580" w:type="dxa"/>
            <w:tcBorders>
              <w:top w:val="nil"/>
              <w:left w:val="nil"/>
              <w:bottom w:val="single" w:sz="4" w:space="0" w:color="auto"/>
              <w:right w:val="nil"/>
            </w:tcBorders>
            <w:shd w:val="clear" w:color="auto" w:fill="auto"/>
            <w:noWrap/>
            <w:vAlign w:val="bottom"/>
            <w:hideMark/>
          </w:tcPr>
          <w:p w14:paraId="7670F1DD"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-0,58</w:t>
            </w:r>
          </w:p>
        </w:tc>
        <w:tc>
          <w:tcPr>
            <w:tcW w:w="1500" w:type="dxa"/>
            <w:tcBorders>
              <w:top w:val="nil"/>
              <w:left w:val="nil"/>
              <w:bottom w:val="single" w:sz="4" w:space="0" w:color="auto"/>
              <w:right w:val="nil"/>
            </w:tcBorders>
            <w:shd w:val="clear" w:color="auto" w:fill="auto"/>
            <w:noWrap/>
            <w:vAlign w:val="bottom"/>
            <w:hideMark/>
          </w:tcPr>
          <w:p w14:paraId="65FBB05B" w14:textId="77777777" w:rsidR="007C1F10" w:rsidRPr="007C1F10" w:rsidRDefault="007C1F10" w:rsidP="007C1F10">
            <w:pPr>
              <w:spacing w:after="0" w:line="240" w:lineRule="auto"/>
              <w:jc w:val="center"/>
              <w:rPr>
                <w:rFonts w:eastAsia="Times New Roman" w:cs="Calibri"/>
                <w:color w:val="000000"/>
                <w:lang w:eastAsia="fi-FI"/>
              </w:rPr>
            </w:pPr>
            <w:r w:rsidRPr="007C1F10">
              <w:rPr>
                <w:rFonts w:eastAsia="Times New Roman" w:cs="Calibri"/>
                <w:color w:val="000000"/>
                <w:lang w:eastAsia="fi-FI"/>
              </w:rPr>
              <w:t>-0,14</w:t>
            </w:r>
          </w:p>
        </w:tc>
      </w:tr>
    </w:tbl>
    <w:p w14:paraId="192D5DEA" w14:textId="77777777" w:rsidR="007C1F10" w:rsidRDefault="007C1F10" w:rsidP="004D0652"/>
    <w:p w14:paraId="7C789A38" w14:textId="77777777" w:rsidR="00BF5B24" w:rsidRDefault="00AF21FF" w:rsidP="00BF5B24">
      <w:pPr>
        <w:jc w:val="both"/>
        <w:rPr>
          <w:rFonts w:ascii="Times New Roman" w:hAnsi="Times New Roman"/>
          <w:sz w:val="24"/>
          <w:szCs w:val="24"/>
        </w:rPr>
      </w:pPr>
      <w:r w:rsidRPr="006F75B1">
        <w:rPr>
          <w:rFonts w:ascii="Times New Roman" w:hAnsi="Times New Roman"/>
          <w:sz w:val="24"/>
          <w:szCs w:val="24"/>
        </w:rPr>
        <w:t>Energiaverotuksen yksi tarkoitus on ohjata kulutusta pienempään energiankäyttöön ja yleensä vähemmän energiaintensiivisiin tuotteisiin</w:t>
      </w:r>
      <w:r w:rsidR="00EE0AD8" w:rsidRPr="006F75B1">
        <w:rPr>
          <w:rFonts w:ascii="Times New Roman" w:hAnsi="Times New Roman"/>
          <w:sz w:val="24"/>
          <w:szCs w:val="24"/>
        </w:rPr>
        <w:t>. Tässä tutkimuksessa tätä energiaverojen ohjaus</w:t>
      </w:r>
      <w:r w:rsidR="006F75B1">
        <w:rPr>
          <w:rFonts w:ascii="Times New Roman" w:hAnsi="Times New Roman"/>
          <w:sz w:val="24"/>
          <w:szCs w:val="24"/>
        </w:rPr>
        <w:softHyphen/>
      </w:r>
      <w:r w:rsidR="00EE0AD8" w:rsidRPr="006F75B1">
        <w:rPr>
          <w:rFonts w:ascii="Times New Roman" w:hAnsi="Times New Roman"/>
          <w:sz w:val="24"/>
          <w:szCs w:val="24"/>
        </w:rPr>
        <w:t>vaikutusta ei ole voitu ottaa huomioon. Verokustannusten karttaminen kulutusta muuttamalla vähentää verojen ostovoimavaikutuksia. Kuitenkin karttamisen vaikutukset verojen regressiivi</w:t>
      </w:r>
      <w:r w:rsidR="006F75B1">
        <w:rPr>
          <w:rFonts w:ascii="Times New Roman" w:hAnsi="Times New Roman"/>
          <w:sz w:val="24"/>
          <w:szCs w:val="24"/>
        </w:rPr>
        <w:softHyphen/>
      </w:r>
      <w:r w:rsidR="00EE0AD8" w:rsidRPr="006F75B1">
        <w:rPr>
          <w:rFonts w:ascii="Times New Roman" w:hAnsi="Times New Roman"/>
          <w:sz w:val="24"/>
          <w:szCs w:val="24"/>
        </w:rPr>
        <w:t>syyteen riippuu karttamisen helppoudesta eli hintajoustoista eri tulodesiilien välillä. Jos hintajoustot eri tulodesiileissä ovat yhtä suuret, niillä ei ole juurikaan vaikutusta verojen regressiivisyyteen. Hintajoustojen eroja tulodesiilien välillä e</w:t>
      </w:r>
      <w:r w:rsidR="00BF5B24">
        <w:rPr>
          <w:rFonts w:ascii="Times New Roman" w:hAnsi="Times New Roman"/>
          <w:sz w:val="24"/>
          <w:szCs w:val="24"/>
        </w:rPr>
        <w:t>i kuitenkaan ole juuri tutkittu.</w:t>
      </w:r>
    </w:p>
    <w:p w14:paraId="39C149BC" w14:textId="77777777" w:rsidR="00B574B3" w:rsidRPr="00065372" w:rsidRDefault="00B574B3" w:rsidP="009D4E90">
      <w:pPr>
        <w:pStyle w:val="Otsikko1"/>
        <w:numPr>
          <w:ilvl w:val="0"/>
          <w:numId w:val="0"/>
        </w:numPr>
        <w:ind w:left="432" w:hanging="432"/>
      </w:pPr>
      <w:bookmarkStart w:id="8" w:name="_Toc327190987"/>
      <w:r>
        <w:lastRenderedPageBreak/>
        <w:t>Lähteet</w:t>
      </w:r>
      <w:bookmarkEnd w:id="8"/>
    </w:p>
    <w:p w14:paraId="473680A5" w14:textId="77777777" w:rsidR="00B574B3" w:rsidRPr="00E7119F" w:rsidRDefault="00B574B3" w:rsidP="00E7119F">
      <w:pPr>
        <w:rPr>
          <w:rFonts w:ascii="Times New Roman" w:hAnsi="Times New Roman"/>
          <w:sz w:val="24"/>
          <w:szCs w:val="24"/>
        </w:rPr>
      </w:pPr>
      <w:r w:rsidRPr="00E7119F">
        <w:rPr>
          <w:rFonts w:ascii="Times New Roman" w:hAnsi="Times New Roman"/>
          <w:sz w:val="24"/>
          <w:szCs w:val="24"/>
        </w:rPr>
        <w:t>Hallituksen esitys Eduskunnalle 2010. Hallituksen esitys Eduskunnalle energiaverotusta koskevan lainsäädännön muuttamiseksi. HE 147/2010</w:t>
      </w:r>
    </w:p>
    <w:p w14:paraId="10F2217F" w14:textId="77777777" w:rsidR="00B574B3" w:rsidRDefault="00B574B3" w:rsidP="00E7119F">
      <w:pPr>
        <w:rPr>
          <w:rFonts w:ascii="Times New Roman" w:hAnsi="Times New Roman"/>
          <w:sz w:val="24"/>
          <w:szCs w:val="24"/>
        </w:rPr>
      </w:pPr>
      <w:r w:rsidRPr="00E7119F">
        <w:rPr>
          <w:rFonts w:ascii="Times New Roman" w:hAnsi="Times New Roman"/>
          <w:sz w:val="24"/>
          <w:szCs w:val="24"/>
        </w:rPr>
        <w:t>Hallituksen esitys Eduskunnalle 2011. Hallituksen esitys Eduskunnalle energiaverotusta koskevan lainsäädännön muuttamiseksi. HE 53/2011</w:t>
      </w:r>
    </w:p>
    <w:p w14:paraId="33FBB9AA" w14:textId="77777777" w:rsidR="00B574B3" w:rsidRPr="000577EF" w:rsidRDefault="00B574B3" w:rsidP="000577EF">
      <w:pPr>
        <w:rPr>
          <w:rFonts w:ascii="Times New Roman" w:hAnsi="Times New Roman"/>
          <w:sz w:val="24"/>
          <w:szCs w:val="24"/>
        </w:rPr>
      </w:pPr>
      <w:r>
        <w:rPr>
          <w:rFonts w:ascii="Times New Roman" w:hAnsi="Times New Roman"/>
          <w:sz w:val="24"/>
          <w:szCs w:val="24"/>
        </w:rPr>
        <w:t xml:space="preserve">Riihelä, M. 2010. </w:t>
      </w:r>
      <w:r w:rsidRPr="000577EF">
        <w:rPr>
          <w:rFonts w:ascii="Times New Roman" w:hAnsi="Times New Roman"/>
          <w:sz w:val="24"/>
          <w:szCs w:val="24"/>
        </w:rPr>
        <w:t>Arvonlisäveroreformien tulonjakovaikutukset</w:t>
      </w:r>
      <w:r>
        <w:rPr>
          <w:rFonts w:ascii="Times New Roman" w:hAnsi="Times New Roman"/>
          <w:sz w:val="24"/>
          <w:szCs w:val="24"/>
        </w:rPr>
        <w:t xml:space="preserve">. </w:t>
      </w:r>
      <w:r>
        <w:rPr>
          <w:rFonts w:ascii="Times New Roman" w:hAnsi="Times New Roman"/>
          <w:sz w:val="26"/>
          <w:szCs w:val="26"/>
        </w:rPr>
        <w:t>Muistio Valtiovarainministeriön verotyöryhmälle 1.2.2010, Valtion taloudellinen tutkimuskeskus</w:t>
      </w:r>
    </w:p>
    <w:p w14:paraId="5B0E6EE5" w14:textId="77777777" w:rsidR="00B574B3" w:rsidRDefault="00B574B3" w:rsidP="000577EF">
      <w:pPr>
        <w:spacing w:line="240" w:lineRule="auto"/>
        <w:rPr>
          <w:rFonts w:ascii="Times New Roman" w:hAnsi="Times New Roman"/>
          <w:sz w:val="24"/>
          <w:szCs w:val="24"/>
          <w:lang w:eastAsia="fi-FI"/>
        </w:rPr>
      </w:pPr>
      <w:r w:rsidRPr="000577EF">
        <w:rPr>
          <w:rFonts w:ascii="Times New Roman" w:hAnsi="Times New Roman"/>
          <w:sz w:val="24"/>
          <w:szCs w:val="24"/>
        </w:rPr>
        <w:t xml:space="preserve">Riihelä, M. </w:t>
      </w:r>
      <w:r>
        <w:rPr>
          <w:rFonts w:ascii="Times New Roman" w:hAnsi="Times New Roman"/>
          <w:sz w:val="24"/>
          <w:szCs w:val="24"/>
        </w:rPr>
        <w:t>2011</w:t>
      </w:r>
      <w:r w:rsidRPr="000577EF">
        <w:rPr>
          <w:rFonts w:ascii="Times New Roman" w:hAnsi="Times New Roman"/>
          <w:sz w:val="24"/>
          <w:szCs w:val="24"/>
        </w:rPr>
        <w:t>. Välillisten verojen muutokset vuosina 2008–2011 ja niiden tulonjakovaikutukset. Muistio 28.1.2011. Valtion taloudellinen tutkimuskeskus</w:t>
      </w:r>
    </w:p>
    <w:p w14:paraId="53C1339D" w14:textId="77777777" w:rsidR="00B574B3" w:rsidRPr="00E7119F" w:rsidRDefault="00B574B3" w:rsidP="000577EF">
      <w:pPr>
        <w:spacing w:line="240" w:lineRule="auto"/>
        <w:rPr>
          <w:rFonts w:ascii="Times New Roman" w:hAnsi="Times New Roman"/>
          <w:sz w:val="24"/>
          <w:szCs w:val="24"/>
          <w:lang w:eastAsia="fi-FI"/>
        </w:rPr>
      </w:pPr>
      <w:r w:rsidRPr="00E7119F">
        <w:rPr>
          <w:rFonts w:ascii="Times New Roman" w:hAnsi="Times New Roman"/>
          <w:sz w:val="24"/>
          <w:szCs w:val="24"/>
          <w:lang w:eastAsia="fi-FI"/>
        </w:rPr>
        <w:t>Seppälä, J., Mäenpää, I., Koskela, S., Mattila, T., Nissinen, A., Katajajuuri, J.-H., Härmä, T., Korhonen, M.-R., Saarinen, M. &amp; Virtanen, Y. 2009. Suomen kansantalouden materiaalivirtojen ympäristövaikutusten arviointi ENVIMAT-mallilla. Suomen ympäristö 20/2009, Helsinki. 134 p.</w:t>
      </w:r>
    </w:p>
    <w:p w14:paraId="35E5E182" w14:textId="77777777" w:rsidR="00B574B3" w:rsidRPr="00E7119F" w:rsidRDefault="00B574B3" w:rsidP="00065372">
      <w:pPr>
        <w:rPr>
          <w:rFonts w:ascii="Times New Roman" w:hAnsi="Times New Roman"/>
          <w:sz w:val="24"/>
          <w:szCs w:val="24"/>
        </w:rPr>
      </w:pPr>
      <w:r w:rsidRPr="00E7119F">
        <w:rPr>
          <w:rFonts w:ascii="Times New Roman" w:hAnsi="Times New Roman"/>
          <w:sz w:val="24"/>
          <w:szCs w:val="24"/>
        </w:rPr>
        <w:t>Tilastokeskus 2009. Kulutustutkimus 2006, Käyttäjän käsikirja. Käsikirjoja 46, Helsinki.</w:t>
      </w:r>
    </w:p>
    <w:p w14:paraId="4F08F90A" w14:textId="77777777" w:rsidR="00B574B3" w:rsidRDefault="00B574B3" w:rsidP="00E7119F">
      <w:pPr>
        <w:rPr>
          <w:rFonts w:ascii="Times New Roman" w:hAnsi="Times New Roman"/>
          <w:sz w:val="24"/>
          <w:szCs w:val="24"/>
        </w:rPr>
      </w:pPr>
      <w:r>
        <w:rPr>
          <w:rFonts w:ascii="Times New Roman" w:hAnsi="Times New Roman"/>
          <w:sz w:val="24"/>
          <w:szCs w:val="24"/>
        </w:rPr>
        <w:t>Tilastokeskus 2011. Yksityiset kulutusmenot 1975 – 2010. Kansantalouden tilinpidon julkaisematonta perusaineistoa, saatu 25.8.2011.</w:t>
      </w:r>
    </w:p>
    <w:p w14:paraId="2646D30B" w14:textId="77777777" w:rsidR="00B574B3" w:rsidRPr="00E7119F" w:rsidRDefault="00B574B3" w:rsidP="00E7119F">
      <w:pPr>
        <w:rPr>
          <w:rFonts w:ascii="Times New Roman" w:hAnsi="Times New Roman"/>
          <w:sz w:val="24"/>
          <w:szCs w:val="24"/>
        </w:rPr>
      </w:pPr>
      <w:r w:rsidRPr="00E7119F">
        <w:rPr>
          <w:rFonts w:ascii="Times New Roman" w:hAnsi="Times New Roman"/>
          <w:sz w:val="24"/>
          <w:szCs w:val="24"/>
        </w:rPr>
        <w:t>Tilastokeskus 2012. Energiatilasto, Vuosikirja 2011. SVT Energia 2012, Helsinki</w:t>
      </w:r>
    </w:p>
    <w:p w14:paraId="061B21BE" w14:textId="77777777" w:rsidR="00B574B3" w:rsidRPr="00E7119F" w:rsidRDefault="00B574B3" w:rsidP="00492E0E">
      <w:pPr>
        <w:rPr>
          <w:rFonts w:ascii="Times New Roman" w:hAnsi="Times New Roman"/>
          <w:sz w:val="24"/>
          <w:szCs w:val="24"/>
        </w:rPr>
      </w:pPr>
      <w:r w:rsidRPr="00092FC8">
        <w:rPr>
          <w:rFonts w:ascii="Times New Roman" w:hAnsi="Times New Roman"/>
          <w:sz w:val="24"/>
          <w:szCs w:val="24"/>
          <w:lang w:val="en-US"/>
        </w:rPr>
        <w:t xml:space="preserve">Van Ourti, T. &amp; Clarke, P. 2011. </w:t>
      </w:r>
      <w:r w:rsidRPr="00E7119F">
        <w:rPr>
          <w:rFonts w:ascii="Times New Roman" w:hAnsi="Times New Roman"/>
          <w:sz w:val="24"/>
          <w:szCs w:val="24"/>
          <w:lang w:val="en-US"/>
        </w:rPr>
        <w:t xml:space="preserve">A simple correction to remove the bias of the Gini coefficient due to grouping. </w:t>
      </w:r>
      <w:r w:rsidRPr="00E7119F">
        <w:rPr>
          <w:rFonts w:ascii="Times New Roman" w:hAnsi="Times New Roman"/>
          <w:sz w:val="24"/>
          <w:szCs w:val="24"/>
        </w:rPr>
        <w:t>The Review of Economics and Statistics, 93(3): 982–994</w:t>
      </w:r>
    </w:p>
    <w:p w14:paraId="59EA3A35" w14:textId="77777777" w:rsidR="00B574B3" w:rsidRPr="000577EF" w:rsidRDefault="00B574B3">
      <w:pPr>
        <w:rPr>
          <w:rFonts w:ascii="Times New Roman" w:hAnsi="Times New Roman"/>
          <w:bCs/>
          <w:caps/>
          <w:sz w:val="24"/>
          <w:szCs w:val="24"/>
        </w:rPr>
      </w:pPr>
      <w:r w:rsidRPr="000577EF">
        <w:rPr>
          <w:rFonts w:ascii="Times New Roman" w:hAnsi="Times New Roman"/>
          <w:sz w:val="24"/>
          <w:szCs w:val="24"/>
        </w:rPr>
        <w:br w:type="page"/>
      </w:r>
    </w:p>
    <w:p w14:paraId="09C7E856" w14:textId="77777777" w:rsidR="00B574B3" w:rsidRPr="004F47D9" w:rsidRDefault="00B574B3" w:rsidP="004F47D9">
      <w:pPr>
        <w:pStyle w:val="Otsikko1"/>
        <w:numPr>
          <w:ilvl w:val="0"/>
          <w:numId w:val="0"/>
        </w:numPr>
        <w:ind w:left="432" w:hanging="432"/>
      </w:pPr>
      <w:bookmarkStart w:id="9" w:name="_Toc327190988"/>
      <w:r w:rsidRPr="004F47D9">
        <w:lastRenderedPageBreak/>
        <w:t xml:space="preserve">Liite. </w:t>
      </w:r>
      <w:r>
        <w:t>Laskentamenetelmät</w:t>
      </w:r>
      <w:bookmarkEnd w:id="9"/>
    </w:p>
    <w:p w14:paraId="5528DFFE" w14:textId="77777777" w:rsidR="00B574B3" w:rsidRPr="0032110C" w:rsidRDefault="00B574B3" w:rsidP="0032110C">
      <w:pPr>
        <w:pStyle w:val="Otsikko2"/>
        <w:numPr>
          <w:ilvl w:val="0"/>
          <w:numId w:val="0"/>
        </w:numPr>
        <w:ind w:left="576" w:hanging="576"/>
        <w:rPr>
          <w:sz w:val="28"/>
          <w:szCs w:val="28"/>
          <w:u w:val="single"/>
        </w:rPr>
      </w:pPr>
      <w:bookmarkStart w:id="10" w:name="_Toc327190989"/>
      <w:r w:rsidRPr="0032110C">
        <w:rPr>
          <w:sz w:val="28"/>
          <w:szCs w:val="28"/>
          <w:u w:val="single"/>
        </w:rPr>
        <w:t>Panos-tuotosmalli</w:t>
      </w:r>
      <w:bookmarkEnd w:id="10"/>
    </w:p>
    <w:p w14:paraId="1C25E852" w14:textId="77777777" w:rsidR="00B574B3" w:rsidRDefault="00603419" w:rsidP="00197E44">
      <w:pPr>
        <w:jc w:val="both"/>
        <w:rPr>
          <w:rFonts w:ascii="Times New Roman" w:hAnsi="Times New Roman"/>
          <w:sz w:val="24"/>
          <w:szCs w:val="24"/>
        </w:rPr>
      </w:pPr>
      <w:r>
        <w:rPr>
          <w:rFonts w:ascii="Times New Roman" w:hAnsi="Times New Roman"/>
          <w:sz w:val="24"/>
          <w:szCs w:val="24"/>
        </w:rPr>
        <w:t xml:space="preserve">ENVIMAT malli (Seppälä </w:t>
      </w:r>
      <w:r w:rsidR="00B574B3">
        <w:rPr>
          <w:rFonts w:ascii="Times New Roman" w:hAnsi="Times New Roman"/>
          <w:sz w:val="24"/>
          <w:szCs w:val="24"/>
        </w:rPr>
        <w:t xml:space="preserve">ym. 2009) on vuodelle 2005 estimoitu 150 toimialan ympäristö-laajennettu panos-tuotosmalli, joka sisältää myös toimialoittaisen energiankulutuksen energialajeittain energiayksiköissä. Mallin 63 energialajin kulutustiedoista otettiin verojen kustannuslaskentaan vain taulukon 1. verotettavat 8 energialajia. </w:t>
      </w:r>
    </w:p>
    <w:p w14:paraId="754E4B7B" w14:textId="77777777" w:rsidR="00B574B3" w:rsidRDefault="00B574B3" w:rsidP="00197E44">
      <w:pPr>
        <w:jc w:val="both"/>
        <w:rPr>
          <w:rFonts w:ascii="Times New Roman" w:hAnsi="Times New Roman"/>
          <w:sz w:val="24"/>
          <w:szCs w:val="24"/>
        </w:rPr>
      </w:pPr>
      <w:r>
        <w:rPr>
          <w:rFonts w:ascii="Times New Roman" w:hAnsi="Times New Roman"/>
          <w:sz w:val="24"/>
          <w:szCs w:val="24"/>
        </w:rPr>
        <w:t>Sähköön ja kaukolämpöön sisältyvien verojen laskennan tarkentamiseksi Sähkö- ja lämpöhuollon toimialan sekä välituotekäyttö että energiankulutus jaettiin laskennallisesti pelkän sähköntuotannon ja pelkän lämmöntuotannon toimialaan siten että yhdistetyn sähkön ja lämmöntuotannon (CHP) laitoksista siirrettiin polttoainekäyttöä lämmöntuotantoon kertoimella 0,9 suhteessa tuotettuun lämpöenergiaan, mikä noudattaa CHP-laitosten energiaverotusperiaatteita.</w:t>
      </w:r>
    </w:p>
    <w:p w14:paraId="57B2A8A4" w14:textId="77777777" w:rsidR="00B574B3" w:rsidRDefault="00B574B3" w:rsidP="00197E44">
      <w:pPr>
        <w:jc w:val="both"/>
        <w:rPr>
          <w:rFonts w:ascii="Times New Roman" w:hAnsi="Times New Roman"/>
          <w:sz w:val="24"/>
          <w:szCs w:val="24"/>
        </w:rPr>
      </w:pPr>
      <w:r>
        <w:rPr>
          <w:rFonts w:ascii="Times New Roman" w:hAnsi="Times New Roman"/>
          <w:sz w:val="24"/>
          <w:szCs w:val="24"/>
        </w:rPr>
        <w:t>Olkoon</w:t>
      </w:r>
    </w:p>
    <w:p w14:paraId="7BFC7843" w14:textId="77777777" w:rsidR="00B574B3" w:rsidRDefault="00B574B3" w:rsidP="00197E44">
      <w:pPr>
        <w:spacing w:after="0"/>
        <w:ind w:left="1304"/>
        <w:jc w:val="both"/>
        <w:rPr>
          <w:rFonts w:ascii="Times New Roman" w:hAnsi="Times New Roman"/>
          <w:sz w:val="24"/>
          <w:szCs w:val="24"/>
        </w:rPr>
      </w:pPr>
      <w:r>
        <w:rPr>
          <w:rFonts w:ascii="Times New Roman" w:hAnsi="Times New Roman"/>
          <w:sz w:val="24"/>
          <w:szCs w:val="24"/>
        </w:rPr>
        <w:t>E = energialaji*toimiala energiapanoskerrointen 8*150 matriisi kWh/eur,</w:t>
      </w:r>
    </w:p>
    <w:p w14:paraId="1F9E96A1" w14:textId="77777777" w:rsidR="00B574B3" w:rsidRDefault="00B574B3" w:rsidP="00197E44">
      <w:pPr>
        <w:ind w:left="1304"/>
        <w:jc w:val="both"/>
        <w:rPr>
          <w:rFonts w:ascii="Times New Roman" w:hAnsi="Times New Roman"/>
          <w:sz w:val="24"/>
          <w:szCs w:val="24"/>
        </w:rPr>
      </w:pPr>
      <w:r>
        <w:rPr>
          <w:rFonts w:ascii="Times New Roman" w:hAnsi="Times New Roman"/>
          <w:sz w:val="24"/>
          <w:szCs w:val="24"/>
        </w:rPr>
        <w:t xml:space="preserve">       kilowattituntia tuotoksen euroa kohti, ja</w:t>
      </w:r>
    </w:p>
    <w:p w14:paraId="220574BC" w14:textId="77777777" w:rsidR="00B574B3" w:rsidRDefault="00B574B3" w:rsidP="00197E44">
      <w:pPr>
        <w:spacing w:after="0"/>
        <w:ind w:left="1304"/>
        <w:jc w:val="both"/>
        <w:rPr>
          <w:rFonts w:ascii="Times New Roman" w:hAnsi="Times New Roman"/>
          <w:sz w:val="24"/>
          <w:szCs w:val="24"/>
        </w:rPr>
      </w:pPr>
      <w:r>
        <w:rPr>
          <w:rFonts w:ascii="Times New Roman" w:hAnsi="Times New Roman"/>
          <w:sz w:val="24"/>
          <w:szCs w:val="24"/>
        </w:rPr>
        <w:t xml:space="preserve">V = energialaji*toimiala energiaverojen 8*150 matriisi eur/kWh, energiaverot </w:t>
      </w:r>
    </w:p>
    <w:p w14:paraId="465C0665" w14:textId="77777777" w:rsidR="00B574B3" w:rsidRDefault="00B574B3" w:rsidP="00197E44">
      <w:pPr>
        <w:ind w:left="1304"/>
        <w:jc w:val="both"/>
        <w:rPr>
          <w:rFonts w:ascii="Times New Roman" w:hAnsi="Times New Roman"/>
          <w:sz w:val="24"/>
          <w:szCs w:val="24"/>
        </w:rPr>
      </w:pPr>
      <w:r>
        <w:rPr>
          <w:rFonts w:ascii="Times New Roman" w:hAnsi="Times New Roman"/>
          <w:sz w:val="24"/>
          <w:szCs w:val="24"/>
        </w:rPr>
        <w:t xml:space="preserve">       muunnettuna energiayksikköä kohti</w:t>
      </w:r>
    </w:p>
    <w:p w14:paraId="536E3013" w14:textId="77777777" w:rsidR="00B574B3" w:rsidRDefault="00B574B3" w:rsidP="00197E44">
      <w:pPr>
        <w:jc w:val="both"/>
        <w:rPr>
          <w:rFonts w:ascii="Times New Roman" w:hAnsi="Times New Roman"/>
          <w:sz w:val="24"/>
          <w:szCs w:val="24"/>
        </w:rPr>
      </w:pPr>
      <w:r>
        <w:rPr>
          <w:rFonts w:ascii="Times New Roman" w:hAnsi="Times New Roman"/>
          <w:sz w:val="24"/>
          <w:szCs w:val="24"/>
        </w:rPr>
        <w:t>Veromatriisi V johdettiin siten, että aluksi jokaiselle toimialalle (matriisin V sarakkeelle) vietiin polttoaineiden verot ja sähkön veroluokka II:n verot sellaisenaan. Sen jälkeen palvelutoimialojen sähköverot muunnettiin veroluokka I:een. Sitten nollattiin verot verottomissa erityiskohteissa. Lopuksi kaukolämmön tuotannon CHP laitosten energiaveroasteita supistettiin hiilidioksidiveron puolittamisen verran ja energiaintensiivisen teollisuuden energiaveroasteita pienennettiin energiaverojen arvioitujen palautusten mukaisissa suhteissa.</w:t>
      </w:r>
    </w:p>
    <w:p w14:paraId="45372B82" w14:textId="77777777" w:rsidR="00B574B3" w:rsidRDefault="00B574B3" w:rsidP="00197E44">
      <w:pPr>
        <w:jc w:val="both"/>
        <w:rPr>
          <w:rFonts w:ascii="Times New Roman" w:hAnsi="Times New Roman"/>
          <w:sz w:val="24"/>
          <w:szCs w:val="24"/>
        </w:rPr>
      </w:pPr>
      <w:r>
        <w:rPr>
          <w:rFonts w:ascii="Times New Roman" w:hAnsi="Times New Roman"/>
          <w:sz w:val="24"/>
          <w:szCs w:val="24"/>
        </w:rPr>
        <w:t>Toimialojen energiaverokustannukset tuotosyksikköä kohti, eur/eur, saadaan matriisien E ja V tulojen rivisummasta:</w:t>
      </w:r>
    </w:p>
    <w:p w14:paraId="708CF590" w14:textId="77777777" w:rsidR="00B574B3" w:rsidRDefault="00B574B3" w:rsidP="00197E44">
      <w:pPr>
        <w:ind w:left="1304"/>
        <w:jc w:val="both"/>
        <w:rPr>
          <w:rFonts w:ascii="Times New Roman" w:hAnsi="Times New Roman"/>
          <w:sz w:val="24"/>
          <w:szCs w:val="24"/>
        </w:rPr>
      </w:pPr>
      <w:r>
        <w:rPr>
          <w:rFonts w:ascii="Times New Roman" w:hAnsi="Times New Roman"/>
          <w:sz w:val="24"/>
          <w:szCs w:val="24"/>
        </w:rPr>
        <w:t>t = ∑</w:t>
      </w:r>
      <w:r>
        <w:rPr>
          <w:rFonts w:ascii="Times New Roman" w:hAnsi="Times New Roman"/>
          <w:sz w:val="24"/>
          <w:szCs w:val="24"/>
          <w:vertAlign w:val="subscript"/>
        </w:rPr>
        <w:t>i</w:t>
      </w:r>
      <w:r>
        <w:rPr>
          <w:rFonts w:ascii="Times New Roman" w:hAnsi="Times New Roman"/>
          <w:sz w:val="24"/>
          <w:szCs w:val="24"/>
        </w:rPr>
        <w:t>(E*V) = energiaverot/tuotosyksikkö 150-vektori.</w:t>
      </w:r>
    </w:p>
    <w:p w14:paraId="6AB57F42" w14:textId="77777777" w:rsidR="00B574B3" w:rsidRDefault="00B574B3" w:rsidP="00197E44">
      <w:pPr>
        <w:jc w:val="both"/>
        <w:rPr>
          <w:rFonts w:ascii="Times New Roman" w:hAnsi="Times New Roman"/>
          <w:sz w:val="24"/>
          <w:szCs w:val="24"/>
        </w:rPr>
      </w:pPr>
      <w:r>
        <w:rPr>
          <w:rFonts w:ascii="Times New Roman" w:hAnsi="Times New Roman"/>
          <w:sz w:val="24"/>
          <w:szCs w:val="24"/>
        </w:rPr>
        <w:t>Vektori t samoin kuin vektorit jatkossa ovat vaakavektoreita.</w:t>
      </w:r>
    </w:p>
    <w:p w14:paraId="4FE0012F" w14:textId="77777777" w:rsidR="00B574B3" w:rsidRDefault="00B574B3" w:rsidP="00197E44">
      <w:pPr>
        <w:jc w:val="both"/>
        <w:rPr>
          <w:rFonts w:ascii="Times New Roman" w:hAnsi="Times New Roman"/>
          <w:sz w:val="24"/>
          <w:szCs w:val="24"/>
        </w:rPr>
      </w:pPr>
      <w:r>
        <w:rPr>
          <w:rFonts w:ascii="Times New Roman" w:hAnsi="Times New Roman"/>
          <w:sz w:val="24"/>
          <w:szCs w:val="24"/>
        </w:rPr>
        <w:t>Energiaverokertoimiin lisättiin vielä arvonlisä</w:t>
      </w:r>
      <w:r w:rsidR="00973FE8">
        <w:rPr>
          <w:rFonts w:ascii="Times New Roman" w:hAnsi="Times New Roman"/>
          <w:sz w:val="24"/>
          <w:szCs w:val="24"/>
        </w:rPr>
        <w:t>verojen kertautumisvaikutus, jolloin</w:t>
      </w:r>
      <w:r>
        <w:rPr>
          <w:rFonts w:ascii="Times New Roman" w:hAnsi="Times New Roman"/>
          <w:sz w:val="24"/>
          <w:szCs w:val="24"/>
        </w:rPr>
        <w:t xml:space="preserve"> vek</w:t>
      </w:r>
      <w:r w:rsidR="00603419">
        <w:rPr>
          <w:rFonts w:ascii="Times New Roman" w:hAnsi="Times New Roman"/>
          <w:sz w:val="24"/>
          <w:szCs w:val="24"/>
        </w:rPr>
        <w:t xml:space="preserve">torin alkiot kerrotaan </w:t>
      </w:r>
      <w:r w:rsidR="00973FE8">
        <w:rPr>
          <w:rFonts w:ascii="Times New Roman" w:hAnsi="Times New Roman"/>
          <w:sz w:val="24"/>
          <w:szCs w:val="24"/>
        </w:rPr>
        <w:t>luvulla 1,23</w:t>
      </w:r>
      <w:r w:rsidR="00603419">
        <w:rPr>
          <w:rFonts w:ascii="Times New Roman" w:hAnsi="Times New Roman"/>
          <w:sz w:val="24"/>
          <w:szCs w:val="24"/>
        </w:rPr>
        <w:t xml:space="preserve"> </w:t>
      </w:r>
      <w:r>
        <w:rPr>
          <w:rFonts w:ascii="Times New Roman" w:hAnsi="Times New Roman"/>
          <w:sz w:val="24"/>
          <w:szCs w:val="24"/>
        </w:rPr>
        <w:t>toimialoilla, joiden tuotteet eivät ole arvonlisäverotettavia, eli jotka eivät voi vähentää tuotantopanosten arvonlisäveroja. Näitä toimialoja ovat kaukolämmön tuotanto, asuntojen hallinta ja vuokraus sekä julkiset palvelut.</w:t>
      </w:r>
    </w:p>
    <w:p w14:paraId="5F9A4BBA" w14:textId="77777777" w:rsidR="00B574B3" w:rsidRDefault="00B574B3" w:rsidP="00197E44">
      <w:pPr>
        <w:jc w:val="both"/>
        <w:rPr>
          <w:rFonts w:ascii="Times New Roman" w:hAnsi="Times New Roman"/>
          <w:sz w:val="24"/>
          <w:szCs w:val="24"/>
        </w:rPr>
      </w:pPr>
      <w:r>
        <w:rPr>
          <w:rFonts w:ascii="Times New Roman" w:hAnsi="Times New Roman"/>
          <w:sz w:val="24"/>
          <w:szCs w:val="24"/>
        </w:rPr>
        <w:t>Toimialojen perushintaisten tuotteiden energiaverokustannukset saadaan silloin panos-tuotosmallin avulla:</w:t>
      </w:r>
    </w:p>
    <w:p w14:paraId="3D580EBD" w14:textId="77777777" w:rsidR="00B574B3" w:rsidRDefault="00B574B3" w:rsidP="00197E44">
      <w:pPr>
        <w:ind w:firstLine="1304"/>
        <w:jc w:val="both"/>
        <w:rPr>
          <w:rFonts w:ascii="Times New Roman" w:hAnsi="Times New Roman"/>
          <w:sz w:val="24"/>
          <w:szCs w:val="24"/>
        </w:rPr>
      </w:pPr>
      <w:r>
        <w:rPr>
          <w:rFonts w:ascii="Times New Roman" w:hAnsi="Times New Roman"/>
          <w:sz w:val="24"/>
          <w:szCs w:val="24"/>
        </w:rPr>
        <w:t>t</w:t>
      </w:r>
      <w:r w:rsidRPr="0037368A">
        <w:rPr>
          <w:rFonts w:ascii="Times New Roman" w:hAnsi="Times New Roman"/>
          <w:sz w:val="24"/>
          <w:szCs w:val="24"/>
          <w:vertAlign w:val="superscript"/>
        </w:rPr>
        <w:t>t</w:t>
      </w:r>
      <w:r>
        <w:rPr>
          <w:rFonts w:ascii="Times New Roman" w:hAnsi="Times New Roman"/>
          <w:sz w:val="24"/>
          <w:szCs w:val="24"/>
        </w:rPr>
        <w:t xml:space="preserve"> = t(I-A)</w:t>
      </w:r>
      <w:r w:rsidRPr="00F53653">
        <w:rPr>
          <w:rFonts w:ascii="Times New Roman" w:hAnsi="Times New Roman"/>
          <w:sz w:val="24"/>
          <w:szCs w:val="24"/>
          <w:vertAlign w:val="superscript"/>
        </w:rPr>
        <w:t>-1</w:t>
      </w:r>
      <w:r>
        <w:rPr>
          <w:rFonts w:ascii="Times New Roman" w:hAnsi="Times New Roman"/>
          <w:sz w:val="24"/>
          <w:szCs w:val="24"/>
        </w:rPr>
        <w:t>,</w:t>
      </w:r>
    </w:p>
    <w:p w14:paraId="763A3F46" w14:textId="77777777" w:rsidR="00B574B3" w:rsidRDefault="00B574B3" w:rsidP="00197E44">
      <w:pPr>
        <w:jc w:val="both"/>
        <w:rPr>
          <w:rFonts w:ascii="Times New Roman" w:hAnsi="Times New Roman"/>
          <w:sz w:val="24"/>
          <w:szCs w:val="24"/>
        </w:rPr>
      </w:pPr>
      <w:r>
        <w:rPr>
          <w:rFonts w:ascii="Times New Roman" w:hAnsi="Times New Roman"/>
          <w:sz w:val="24"/>
          <w:szCs w:val="24"/>
        </w:rPr>
        <w:t>missä (I-A)</w:t>
      </w:r>
      <w:r w:rsidRPr="00F53653">
        <w:rPr>
          <w:rFonts w:ascii="Times New Roman" w:hAnsi="Times New Roman"/>
          <w:sz w:val="24"/>
          <w:szCs w:val="24"/>
          <w:vertAlign w:val="superscript"/>
        </w:rPr>
        <w:t>-1</w:t>
      </w:r>
      <w:r>
        <w:rPr>
          <w:rFonts w:ascii="Times New Roman" w:hAnsi="Times New Roman"/>
          <w:sz w:val="24"/>
          <w:szCs w:val="24"/>
        </w:rPr>
        <w:t xml:space="preserve"> on toimialojen välituotekäytön Leontiefin 150*150 käänteismatriisi.  </w:t>
      </w:r>
    </w:p>
    <w:p w14:paraId="339A5FBC" w14:textId="77777777" w:rsidR="00B574B3" w:rsidRDefault="00B574B3" w:rsidP="00197E44">
      <w:pPr>
        <w:jc w:val="both"/>
        <w:rPr>
          <w:rFonts w:ascii="Times New Roman" w:hAnsi="Times New Roman"/>
          <w:sz w:val="24"/>
          <w:szCs w:val="24"/>
        </w:rPr>
      </w:pPr>
      <w:r>
        <w:rPr>
          <w:rFonts w:ascii="Times New Roman" w:hAnsi="Times New Roman"/>
          <w:sz w:val="24"/>
          <w:szCs w:val="24"/>
        </w:rPr>
        <w:lastRenderedPageBreak/>
        <w:t xml:space="preserve">Perushintaisten toimialoittaisten tuotteiden energiaverot on vielä muutettava ostajanhintaisiin kulutushyödykkeisiin sisältyviksi energiaveroiksi. ENVIMAT malli sisältää myös 150*63 matriisin C, joka muuntaa toimialoittaiset perushintaiset tuotteet COICOP kulutushyödykeryhmän </w:t>
      </w:r>
      <w:r w:rsidR="0068594E">
        <w:rPr>
          <w:rFonts w:ascii="Times New Roman" w:hAnsi="Times New Roman"/>
          <w:sz w:val="24"/>
          <w:szCs w:val="24"/>
        </w:rPr>
        <w:t xml:space="preserve">ostajanhintaisiksi </w:t>
      </w:r>
      <w:r>
        <w:rPr>
          <w:rFonts w:ascii="Times New Roman" w:hAnsi="Times New Roman"/>
          <w:sz w:val="24"/>
          <w:szCs w:val="24"/>
        </w:rPr>
        <w:t>hyödykkeiksi.</w:t>
      </w:r>
      <w:r w:rsidR="0068594E">
        <w:rPr>
          <w:rFonts w:ascii="Times New Roman" w:hAnsi="Times New Roman"/>
          <w:sz w:val="24"/>
          <w:szCs w:val="24"/>
        </w:rPr>
        <w:t xml:space="preserve"> </w:t>
      </w:r>
      <w:r>
        <w:rPr>
          <w:rFonts w:ascii="Times New Roman" w:hAnsi="Times New Roman"/>
          <w:sz w:val="24"/>
          <w:szCs w:val="24"/>
        </w:rPr>
        <w:t>Kotimaisten tuotteiden lisäksi kulutukseen sisältyy myös tuonti</w:t>
      </w:r>
      <w:r w:rsidR="00973FE8">
        <w:rPr>
          <w:rFonts w:ascii="Times New Roman" w:hAnsi="Times New Roman"/>
          <w:sz w:val="24"/>
          <w:szCs w:val="24"/>
        </w:rPr>
        <w:softHyphen/>
      </w:r>
      <w:r>
        <w:rPr>
          <w:rFonts w:ascii="Times New Roman" w:hAnsi="Times New Roman"/>
          <w:sz w:val="24"/>
          <w:szCs w:val="24"/>
        </w:rPr>
        <w:t>tuotteita. Olkoon tuonnin osuudet tuotteiden kulutuksesta vektori m. Kulutushyödykkeisiin sisältyviksi välillisiksi energiaveroiksi kulutushyödykkeen ostajanhintaista euroa kohti saadaan:</w:t>
      </w:r>
    </w:p>
    <w:p w14:paraId="44577A26" w14:textId="77777777" w:rsidR="00B574B3" w:rsidRDefault="00B574B3" w:rsidP="00197E44">
      <w:pPr>
        <w:jc w:val="both"/>
        <w:rPr>
          <w:rFonts w:ascii="Times New Roman" w:hAnsi="Times New Roman"/>
          <w:sz w:val="24"/>
          <w:szCs w:val="24"/>
        </w:rPr>
      </w:pPr>
      <w:r>
        <w:rPr>
          <w:rFonts w:ascii="Times New Roman" w:hAnsi="Times New Roman"/>
          <w:sz w:val="24"/>
          <w:szCs w:val="24"/>
        </w:rPr>
        <w:tab/>
        <w:t>t</w:t>
      </w:r>
      <w:r>
        <w:rPr>
          <w:rFonts w:ascii="Times New Roman" w:hAnsi="Times New Roman"/>
          <w:sz w:val="24"/>
          <w:szCs w:val="24"/>
          <w:vertAlign w:val="superscript"/>
        </w:rPr>
        <w:t>CV</w:t>
      </w:r>
      <w:r>
        <w:rPr>
          <w:rFonts w:ascii="Times New Roman" w:hAnsi="Times New Roman"/>
          <w:sz w:val="24"/>
          <w:szCs w:val="24"/>
        </w:rPr>
        <w:t xml:space="preserve"> = t</w:t>
      </w:r>
      <w:r>
        <w:rPr>
          <w:rFonts w:ascii="Times New Roman" w:hAnsi="Times New Roman"/>
          <w:sz w:val="24"/>
          <w:szCs w:val="24"/>
          <w:vertAlign w:val="superscript"/>
        </w:rPr>
        <w:t>t</w:t>
      </w:r>
      <w:r>
        <w:rPr>
          <w:rFonts w:ascii="Times New Roman" w:hAnsi="Times New Roman"/>
          <w:sz w:val="24"/>
          <w:szCs w:val="24"/>
        </w:rPr>
        <w:t>(</w:t>
      </w:r>
      <w:r w:rsidR="0068594E">
        <w:rPr>
          <w:rFonts w:ascii="Times New Roman" w:hAnsi="Times New Roman"/>
          <w:sz w:val="24"/>
          <w:szCs w:val="24"/>
        </w:rPr>
        <w:t>I-</w:t>
      </w:r>
      <m:oMath>
        <m:acc>
          <m:accPr>
            <m:ctrlPr>
              <w:rPr>
                <w:rFonts w:ascii="Cambria Math" w:hAnsi="Cambria Math"/>
                <w:i/>
                <w:sz w:val="24"/>
                <w:szCs w:val="24"/>
              </w:rPr>
            </m:ctrlPr>
          </m:accPr>
          <m:e>
            <m:r>
              <m:rPr>
                <m:sty m:val="p"/>
              </m:rPr>
              <w:rPr>
                <w:rFonts w:ascii="Cambria Math" w:hAnsi="Cambria Math"/>
                <w:sz w:val="24"/>
                <w:szCs w:val="24"/>
              </w:rPr>
              <m:t>m</m:t>
            </m:r>
          </m:e>
        </m:acc>
      </m:oMath>
      <w:r>
        <w:rPr>
          <w:rFonts w:ascii="Times New Roman" w:hAnsi="Times New Roman"/>
          <w:sz w:val="24"/>
          <w:szCs w:val="24"/>
        </w:rPr>
        <w:t>)C.</w:t>
      </w:r>
    </w:p>
    <w:p w14:paraId="6AF5EF40" w14:textId="77777777" w:rsidR="0068594E" w:rsidRDefault="0068594E" w:rsidP="00197E44">
      <w:pPr>
        <w:jc w:val="both"/>
        <w:rPr>
          <w:rFonts w:ascii="Times New Roman" w:hAnsi="Times New Roman"/>
          <w:sz w:val="24"/>
          <w:szCs w:val="24"/>
        </w:rPr>
      </w:pPr>
      <w:r>
        <w:rPr>
          <w:rFonts w:ascii="Times New Roman" w:hAnsi="Times New Roman"/>
          <w:sz w:val="24"/>
          <w:szCs w:val="24"/>
        </w:rPr>
        <w:t xml:space="preserve">Muuntajamatriisi C sisältää myös hyödykkeiden ostajanhintaan sisältyvät kaupan lisät, jolloin myös jakelun energiaverokustannukset tulevat mukaan kulutushyödykkeiden </w:t>
      </w:r>
      <w:r w:rsidR="00603419">
        <w:rPr>
          <w:rFonts w:ascii="Times New Roman" w:hAnsi="Times New Roman"/>
          <w:sz w:val="24"/>
          <w:szCs w:val="24"/>
        </w:rPr>
        <w:t>välillisiin energiaveroihin.</w:t>
      </w:r>
    </w:p>
    <w:p w14:paraId="77E85638" w14:textId="77777777" w:rsidR="00B574B3" w:rsidRPr="0037368A" w:rsidRDefault="00B574B3" w:rsidP="00197E44">
      <w:pPr>
        <w:jc w:val="both"/>
        <w:rPr>
          <w:rFonts w:ascii="Times New Roman" w:hAnsi="Times New Roman"/>
          <w:sz w:val="24"/>
          <w:szCs w:val="24"/>
        </w:rPr>
      </w:pPr>
      <w:r>
        <w:rPr>
          <w:rFonts w:ascii="Times New Roman" w:hAnsi="Times New Roman"/>
          <w:sz w:val="24"/>
          <w:szCs w:val="24"/>
        </w:rPr>
        <w:t>Kotitalouksien kulutusmenoihin sisältyvien verotettavien energialajien suora kulutus sisältyy seuraaviin COICOP kulutushyödykeryhmiin:</w:t>
      </w:r>
    </w:p>
    <w:tbl>
      <w:tblPr>
        <w:tblW w:w="5969" w:type="dxa"/>
        <w:tblInd w:w="1304" w:type="dxa"/>
        <w:tblCellMar>
          <w:left w:w="70" w:type="dxa"/>
          <w:right w:w="70" w:type="dxa"/>
        </w:tblCellMar>
        <w:tblLook w:val="00A0" w:firstRow="1" w:lastRow="0" w:firstColumn="1" w:lastColumn="0" w:noHBand="0" w:noVBand="0"/>
      </w:tblPr>
      <w:tblGrid>
        <w:gridCol w:w="960"/>
        <w:gridCol w:w="5009"/>
      </w:tblGrid>
      <w:tr w:rsidR="00B574B3" w:rsidRPr="003B0C97" w14:paraId="624AA2E1" w14:textId="77777777" w:rsidTr="0037368A">
        <w:trPr>
          <w:trHeight w:val="170"/>
        </w:trPr>
        <w:tc>
          <w:tcPr>
            <w:tcW w:w="960" w:type="dxa"/>
            <w:tcBorders>
              <w:top w:val="nil"/>
              <w:left w:val="nil"/>
              <w:bottom w:val="nil"/>
              <w:right w:val="nil"/>
            </w:tcBorders>
            <w:noWrap/>
            <w:vAlign w:val="center"/>
          </w:tcPr>
          <w:p w14:paraId="274098CF" w14:textId="77777777" w:rsidR="00B574B3" w:rsidRPr="0037368A" w:rsidRDefault="00B574B3" w:rsidP="00197E44">
            <w:pPr>
              <w:spacing w:after="0" w:line="240" w:lineRule="auto"/>
              <w:jc w:val="both"/>
              <w:rPr>
                <w:rFonts w:cs="Calibri"/>
                <w:lang w:eastAsia="fi-FI"/>
              </w:rPr>
            </w:pPr>
            <w:r w:rsidRPr="0037368A">
              <w:rPr>
                <w:rFonts w:cs="Calibri"/>
                <w:lang w:eastAsia="fi-FI"/>
              </w:rPr>
              <w:t>C0451</w:t>
            </w:r>
          </w:p>
        </w:tc>
        <w:tc>
          <w:tcPr>
            <w:tcW w:w="5009" w:type="dxa"/>
            <w:tcBorders>
              <w:top w:val="nil"/>
              <w:left w:val="nil"/>
              <w:bottom w:val="nil"/>
              <w:right w:val="nil"/>
            </w:tcBorders>
            <w:noWrap/>
            <w:vAlign w:val="center"/>
          </w:tcPr>
          <w:p w14:paraId="7432F76A" w14:textId="77777777" w:rsidR="00B574B3" w:rsidRPr="0037368A" w:rsidRDefault="00B574B3" w:rsidP="00197E44">
            <w:pPr>
              <w:spacing w:after="0" w:line="240" w:lineRule="auto"/>
              <w:jc w:val="both"/>
              <w:rPr>
                <w:rFonts w:cs="Calibri"/>
                <w:lang w:eastAsia="fi-FI"/>
              </w:rPr>
            </w:pPr>
            <w:r w:rsidRPr="0037368A">
              <w:rPr>
                <w:rFonts w:cs="Calibri"/>
                <w:lang w:eastAsia="fi-FI"/>
              </w:rPr>
              <w:t>Sähkö</w:t>
            </w:r>
          </w:p>
        </w:tc>
      </w:tr>
      <w:tr w:rsidR="00B574B3" w:rsidRPr="003B0C97" w14:paraId="756C1E25" w14:textId="77777777" w:rsidTr="0037368A">
        <w:trPr>
          <w:trHeight w:val="170"/>
        </w:trPr>
        <w:tc>
          <w:tcPr>
            <w:tcW w:w="960" w:type="dxa"/>
            <w:tcBorders>
              <w:top w:val="nil"/>
              <w:left w:val="nil"/>
              <w:bottom w:val="nil"/>
              <w:right w:val="nil"/>
            </w:tcBorders>
            <w:noWrap/>
            <w:vAlign w:val="center"/>
          </w:tcPr>
          <w:p w14:paraId="645777DD" w14:textId="77777777" w:rsidR="00B574B3" w:rsidRPr="0037368A" w:rsidRDefault="00B574B3" w:rsidP="00197E44">
            <w:pPr>
              <w:spacing w:after="0" w:line="240" w:lineRule="auto"/>
              <w:jc w:val="both"/>
              <w:rPr>
                <w:rFonts w:cs="Calibri"/>
                <w:lang w:eastAsia="fi-FI"/>
              </w:rPr>
            </w:pPr>
            <w:r w:rsidRPr="0037368A">
              <w:rPr>
                <w:rFonts w:cs="Calibri"/>
                <w:lang w:eastAsia="fi-FI"/>
              </w:rPr>
              <w:t>C0453</w:t>
            </w:r>
          </w:p>
        </w:tc>
        <w:tc>
          <w:tcPr>
            <w:tcW w:w="5009" w:type="dxa"/>
            <w:tcBorders>
              <w:top w:val="nil"/>
              <w:left w:val="nil"/>
              <w:bottom w:val="nil"/>
              <w:right w:val="nil"/>
            </w:tcBorders>
            <w:noWrap/>
            <w:vAlign w:val="center"/>
          </w:tcPr>
          <w:p w14:paraId="0A9E493B" w14:textId="77777777" w:rsidR="00B574B3" w:rsidRPr="0037368A" w:rsidRDefault="00B574B3" w:rsidP="00197E44">
            <w:pPr>
              <w:spacing w:after="0" w:line="240" w:lineRule="auto"/>
              <w:jc w:val="both"/>
              <w:rPr>
                <w:rFonts w:cs="Calibri"/>
                <w:lang w:eastAsia="fi-FI"/>
              </w:rPr>
            </w:pPr>
            <w:r w:rsidRPr="0037368A">
              <w:rPr>
                <w:rFonts w:cs="Calibri"/>
                <w:lang w:eastAsia="fi-FI"/>
              </w:rPr>
              <w:t>Nestemäiset polttoaineet (kevyt polttoöljy)</w:t>
            </w:r>
          </w:p>
        </w:tc>
      </w:tr>
      <w:tr w:rsidR="00B574B3" w:rsidRPr="003B0C97" w14:paraId="096619AE" w14:textId="77777777" w:rsidTr="0037368A">
        <w:trPr>
          <w:trHeight w:val="170"/>
        </w:trPr>
        <w:tc>
          <w:tcPr>
            <w:tcW w:w="960" w:type="dxa"/>
            <w:tcBorders>
              <w:top w:val="nil"/>
              <w:left w:val="nil"/>
              <w:bottom w:val="nil"/>
              <w:right w:val="nil"/>
            </w:tcBorders>
            <w:noWrap/>
            <w:vAlign w:val="center"/>
          </w:tcPr>
          <w:p w14:paraId="4FCD56BE" w14:textId="77777777" w:rsidR="00B574B3" w:rsidRPr="0037368A" w:rsidRDefault="00B574B3" w:rsidP="00197E44">
            <w:pPr>
              <w:spacing w:after="0" w:line="240" w:lineRule="auto"/>
              <w:jc w:val="both"/>
              <w:rPr>
                <w:rFonts w:cs="Calibri"/>
                <w:lang w:eastAsia="fi-FI"/>
              </w:rPr>
            </w:pPr>
            <w:r w:rsidRPr="0037368A">
              <w:rPr>
                <w:rFonts w:cs="Calibri"/>
                <w:lang w:eastAsia="fi-FI"/>
              </w:rPr>
              <w:t>C0455</w:t>
            </w:r>
          </w:p>
        </w:tc>
        <w:tc>
          <w:tcPr>
            <w:tcW w:w="5009" w:type="dxa"/>
            <w:tcBorders>
              <w:top w:val="nil"/>
              <w:left w:val="nil"/>
              <w:bottom w:val="nil"/>
              <w:right w:val="nil"/>
            </w:tcBorders>
            <w:noWrap/>
            <w:vAlign w:val="center"/>
          </w:tcPr>
          <w:p w14:paraId="1385A70B" w14:textId="77777777" w:rsidR="00B574B3" w:rsidRPr="0037368A" w:rsidRDefault="00B574B3" w:rsidP="00197E44">
            <w:pPr>
              <w:spacing w:after="0" w:line="240" w:lineRule="auto"/>
              <w:jc w:val="both"/>
              <w:rPr>
                <w:rFonts w:cs="Calibri"/>
                <w:lang w:eastAsia="fi-FI"/>
              </w:rPr>
            </w:pPr>
            <w:r w:rsidRPr="0037368A">
              <w:rPr>
                <w:rFonts w:cs="Calibri"/>
                <w:lang w:eastAsia="fi-FI"/>
              </w:rPr>
              <w:t>Kuuma vesi, höyry ja jää (kaukolämpö)</w:t>
            </w:r>
          </w:p>
        </w:tc>
      </w:tr>
      <w:tr w:rsidR="00B574B3" w:rsidRPr="003B0C97" w14:paraId="39C18359" w14:textId="77777777" w:rsidTr="0037368A">
        <w:trPr>
          <w:trHeight w:val="170"/>
        </w:trPr>
        <w:tc>
          <w:tcPr>
            <w:tcW w:w="960" w:type="dxa"/>
            <w:tcBorders>
              <w:top w:val="nil"/>
              <w:left w:val="nil"/>
              <w:bottom w:val="nil"/>
              <w:right w:val="nil"/>
            </w:tcBorders>
            <w:noWrap/>
            <w:vAlign w:val="center"/>
          </w:tcPr>
          <w:p w14:paraId="2CF3E308" w14:textId="77777777" w:rsidR="00B574B3" w:rsidRPr="0037368A" w:rsidRDefault="00B574B3" w:rsidP="00197E44">
            <w:pPr>
              <w:spacing w:after="0" w:line="240" w:lineRule="auto"/>
              <w:jc w:val="both"/>
              <w:rPr>
                <w:rFonts w:cs="Calibri"/>
                <w:lang w:eastAsia="fi-FI"/>
              </w:rPr>
            </w:pPr>
            <w:r w:rsidRPr="0037368A">
              <w:rPr>
                <w:rFonts w:cs="Calibri"/>
                <w:lang w:eastAsia="fi-FI"/>
              </w:rPr>
              <w:t>C0722</w:t>
            </w:r>
          </w:p>
        </w:tc>
        <w:tc>
          <w:tcPr>
            <w:tcW w:w="5009" w:type="dxa"/>
            <w:tcBorders>
              <w:top w:val="nil"/>
              <w:left w:val="nil"/>
              <w:bottom w:val="nil"/>
              <w:right w:val="nil"/>
            </w:tcBorders>
            <w:noWrap/>
            <w:vAlign w:val="center"/>
          </w:tcPr>
          <w:p w14:paraId="235973F0" w14:textId="77777777" w:rsidR="00B574B3" w:rsidRPr="0037368A" w:rsidRDefault="00B574B3" w:rsidP="00197E44">
            <w:pPr>
              <w:spacing w:after="0" w:line="240" w:lineRule="auto"/>
              <w:jc w:val="both"/>
              <w:rPr>
                <w:rFonts w:cs="Calibri"/>
                <w:lang w:eastAsia="fi-FI"/>
              </w:rPr>
            </w:pPr>
            <w:r w:rsidRPr="0037368A">
              <w:rPr>
                <w:rFonts w:cs="Calibri"/>
                <w:lang w:eastAsia="fi-FI"/>
              </w:rPr>
              <w:t xml:space="preserve">Poltto- ja voiteluaineet (bensiini ja diesel) </w:t>
            </w:r>
          </w:p>
        </w:tc>
      </w:tr>
    </w:tbl>
    <w:p w14:paraId="4FD8B9E8" w14:textId="77777777" w:rsidR="00B574B3" w:rsidRDefault="00B574B3" w:rsidP="00197E44">
      <w:pPr>
        <w:jc w:val="both"/>
        <w:rPr>
          <w:rFonts w:ascii="Times New Roman" w:hAnsi="Times New Roman"/>
          <w:sz w:val="24"/>
          <w:szCs w:val="24"/>
        </w:rPr>
      </w:pPr>
    </w:p>
    <w:p w14:paraId="4860EB8C" w14:textId="77777777" w:rsidR="00B574B3" w:rsidRDefault="00B574B3" w:rsidP="00197E44">
      <w:pPr>
        <w:jc w:val="both"/>
        <w:rPr>
          <w:rFonts w:ascii="Times New Roman" w:hAnsi="Times New Roman"/>
          <w:sz w:val="24"/>
          <w:szCs w:val="24"/>
        </w:rPr>
      </w:pPr>
      <w:r>
        <w:rPr>
          <w:rFonts w:ascii="Times New Roman" w:hAnsi="Times New Roman"/>
          <w:sz w:val="24"/>
          <w:szCs w:val="24"/>
        </w:rPr>
        <w:t>ENVIMAT mallista saadaan myös kotitalouksien energian suoran kulutuksen energiamäärät, jolloin energiaverojen vektoriin t</w:t>
      </w:r>
      <w:r w:rsidRPr="00B9595F">
        <w:rPr>
          <w:rFonts w:ascii="Times New Roman" w:hAnsi="Times New Roman"/>
          <w:sz w:val="24"/>
          <w:szCs w:val="24"/>
          <w:vertAlign w:val="superscript"/>
        </w:rPr>
        <w:t>CV</w:t>
      </w:r>
      <w:r>
        <w:rPr>
          <w:rFonts w:ascii="Times New Roman" w:hAnsi="Times New Roman"/>
          <w:sz w:val="24"/>
          <w:szCs w:val="24"/>
        </w:rPr>
        <w:t xml:space="preserve"> voidaan lisätä näille kulutushyödykkeille suorien energiaverojen kustannusvaikutus t</w:t>
      </w:r>
      <w:r w:rsidRPr="00B9595F">
        <w:rPr>
          <w:rFonts w:ascii="Times New Roman" w:hAnsi="Times New Roman"/>
          <w:sz w:val="24"/>
          <w:szCs w:val="24"/>
          <w:vertAlign w:val="superscript"/>
        </w:rPr>
        <w:t>C</w:t>
      </w:r>
      <w:r>
        <w:rPr>
          <w:rFonts w:ascii="Times New Roman" w:hAnsi="Times New Roman"/>
          <w:sz w:val="24"/>
          <w:szCs w:val="24"/>
          <w:vertAlign w:val="superscript"/>
        </w:rPr>
        <w:t>S</w:t>
      </w:r>
      <w:r>
        <w:rPr>
          <w:rFonts w:ascii="Times New Roman" w:hAnsi="Times New Roman"/>
          <w:sz w:val="24"/>
          <w:szCs w:val="24"/>
        </w:rPr>
        <w:t xml:space="preserve">.  </w:t>
      </w:r>
    </w:p>
    <w:p w14:paraId="493933C6" w14:textId="77777777" w:rsidR="00B574B3" w:rsidRDefault="00B574B3" w:rsidP="00197E44">
      <w:pPr>
        <w:jc w:val="both"/>
        <w:rPr>
          <w:rFonts w:ascii="Times New Roman" w:hAnsi="Times New Roman"/>
          <w:sz w:val="24"/>
          <w:szCs w:val="24"/>
        </w:rPr>
      </w:pPr>
      <w:r>
        <w:rPr>
          <w:rFonts w:ascii="Times New Roman" w:hAnsi="Times New Roman"/>
          <w:sz w:val="24"/>
          <w:szCs w:val="24"/>
        </w:rPr>
        <w:t>Lisäksi energiaverojen kustannusvaikutuksiin lisätään kulutushyödykkeiden arvonlisäverojen kertautuminen, jolloin energiaverojen kustannusvaikutus kulutushyödykkeittäin on kokonaisuu</w:t>
      </w:r>
      <w:r w:rsidR="00973FE8">
        <w:rPr>
          <w:rFonts w:ascii="Times New Roman" w:hAnsi="Times New Roman"/>
          <w:sz w:val="24"/>
          <w:szCs w:val="24"/>
        </w:rPr>
        <w:softHyphen/>
      </w:r>
      <w:r>
        <w:rPr>
          <w:rFonts w:ascii="Times New Roman" w:hAnsi="Times New Roman"/>
          <w:sz w:val="24"/>
          <w:szCs w:val="24"/>
        </w:rPr>
        <w:t>dessaan:</w:t>
      </w:r>
    </w:p>
    <w:p w14:paraId="32840B92" w14:textId="77777777" w:rsidR="00B574B3" w:rsidRPr="00B9595F" w:rsidRDefault="00B574B3" w:rsidP="00197E44">
      <w:pPr>
        <w:jc w:val="both"/>
        <w:rPr>
          <w:rFonts w:ascii="Times New Roman" w:hAnsi="Times New Roman"/>
          <w:sz w:val="24"/>
          <w:szCs w:val="24"/>
        </w:rPr>
      </w:pPr>
      <w:r>
        <w:rPr>
          <w:rFonts w:ascii="Times New Roman" w:hAnsi="Times New Roman"/>
          <w:sz w:val="24"/>
          <w:szCs w:val="24"/>
        </w:rPr>
        <w:tab/>
        <w:t>t</w:t>
      </w:r>
      <w:r>
        <w:rPr>
          <w:rFonts w:ascii="Times New Roman" w:hAnsi="Times New Roman"/>
          <w:sz w:val="24"/>
          <w:szCs w:val="24"/>
          <w:vertAlign w:val="superscript"/>
        </w:rPr>
        <w:t>C</w:t>
      </w:r>
      <w:r>
        <w:rPr>
          <w:rFonts w:ascii="Times New Roman" w:hAnsi="Times New Roman"/>
          <w:sz w:val="24"/>
          <w:szCs w:val="24"/>
        </w:rPr>
        <w:t xml:space="preserve"> = (1+t</w:t>
      </w:r>
      <w:r>
        <w:rPr>
          <w:rFonts w:ascii="Times New Roman" w:hAnsi="Times New Roman"/>
          <w:sz w:val="24"/>
          <w:szCs w:val="24"/>
          <w:vertAlign w:val="superscript"/>
        </w:rPr>
        <w:t>alv</w:t>
      </w:r>
      <w:r>
        <w:rPr>
          <w:rFonts w:ascii="Times New Roman" w:hAnsi="Times New Roman"/>
          <w:sz w:val="24"/>
          <w:szCs w:val="24"/>
        </w:rPr>
        <w:t>)(t</w:t>
      </w:r>
      <w:r w:rsidRPr="00B9595F">
        <w:rPr>
          <w:rFonts w:ascii="Times New Roman" w:hAnsi="Times New Roman"/>
          <w:sz w:val="24"/>
          <w:szCs w:val="24"/>
          <w:vertAlign w:val="superscript"/>
        </w:rPr>
        <w:t>CS</w:t>
      </w:r>
      <w:r>
        <w:rPr>
          <w:rFonts w:ascii="Times New Roman" w:hAnsi="Times New Roman"/>
          <w:sz w:val="24"/>
          <w:szCs w:val="24"/>
        </w:rPr>
        <w:t>+t</w:t>
      </w:r>
      <w:r w:rsidRPr="00B9595F">
        <w:rPr>
          <w:rFonts w:ascii="Times New Roman" w:hAnsi="Times New Roman"/>
          <w:sz w:val="24"/>
          <w:szCs w:val="24"/>
          <w:vertAlign w:val="superscript"/>
        </w:rPr>
        <w:t>CV</w:t>
      </w:r>
      <w:r>
        <w:rPr>
          <w:rFonts w:ascii="Times New Roman" w:hAnsi="Times New Roman"/>
          <w:sz w:val="24"/>
          <w:szCs w:val="24"/>
        </w:rPr>
        <w:t>).</w:t>
      </w:r>
    </w:p>
    <w:p w14:paraId="0EBCB550" w14:textId="77777777" w:rsidR="00B574B3" w:rsidRDefault="00B574B3" w:rsidP="00197E44">
      <w:pPr>
        <w:jc w:val="both"/>
        <w:rPr>
          <w:rFonts w:ascii="Times New Roman" w:hAnsi="Times New Roman"/>
          <w:sz w:val="24"/>
          <w:szCs w:val="24"/>
        </w:rPr>
      </w:pPr>
      <w:r>
        <w:rPr>
          <w:rFonts w:ascii="Times New Roman" w:hAnsi="Times New Roman"/>
          <w:sz w:val="24"/>
          <w:szCs w:val="24"/>
        </w:rPr>
        <w:t>ENVIMAT mallissa tuotteet ja kulutushyödykkeet ovat vuoden 2005 hinnoin. Energiaverot muunnettiin vuoden 2010 hintaista kulutushyödykettä kohti jakamalla vektori t</w:t>
      </w:r>
      <w:r w:rsidRPr="00B9595F">
        <w:rPr>
          <w:rFonts w:ascii="Times New Roman" w:hAnsi="Times New Roman"/>
          <w:sz w:val="24"/>
          <w:szCs w:val="24"/>
          <w:vertAlign w:val="superscript"/>
        </w:rPr>
        <w:t>C</w:t>
      </w:r>
      <w:r>
        <w:rPr>
          <w:rFonts w:ascii="Times New Roman" w:hAnsi="Times New Roman"/>
          <w:sz w:val="24"/>
          <w:szCs w:val="24"/>
        </w:rPr>
        <w:t xml:space="preserve"> kansantalouden tilinpidosta saaduilla kulutushyödykekohtaisilla kuluttajahintaindeksien muutoksilla 2010/2005 (Tilastokeskus 2011).</w:t>
      </w:r>
    </w:p>
    <w:p w14:paraId="7884664C" w14:textId="77777777" w:rsidR="00973FE8" w:rsidRDefault="00973FE8" w:rsidP="0032110C">
      <w:pPr>
        <w:pStyle w:val="Otsikko2"/>
        <w:numPr>
          <w:ilvl w:val="0"/>
          <w:numId w:val="0"/>
        </w:numPr>
        <w:ind w:left="576" w:hanging="576"/>
        <w:rPr>
          <w:sz w:val="28"/>
          <w:szCs w:val="28"/>
          <w:u w:val="single"/>
        </w:rPr>
      </w:pPr>
    </w:p>
    <w:p w14:paraId="0A556035" w14:textId="77777777" w:rsidR="00B574B3" w:rsidRPr="0032110C" w:rsidRDefault="00B574B3" w:rsidP="0032110C">
      <w:pPr>
        <w:pStyle w:val="Otsikko2"/>
        <w:numPr>
          <w:ilvl w:val="0"/>
          <w:numId w:val="0"/>
        </w:numPr>
        <w:ind w:left="576" w:hanging="576"/>
        <w:rPr>
          <w:sz w:val="28"/>
          <w:szCs w:val="28"/>
          <w:u w:val="single"/>
        </w:rPr>
      </w:pPr>
      <w:bookmarkStart w:id="11" w:name="_Toc327190990"/>
      <w:r w:rsidRPr="0032110C">
        <w:rPr>
          <w:sz w:val="28"/>
          <w:szCs w:val="28"/>
          <w:u w:val="single"/>
        </w:rPr>
        <w:t>Kulutustutkimus</w:t>
      </w:r>
      <w:bookmarkEnd w:id="11"/>
    </w:p>
    <w:p w14:paraId="085888A1" w14:textId="77777777" w:rsidR="00B574B3" w:rsidRDefault="00B574B3" w:rsidP="00197E44">
      <w:pPr>
        <w:jc w:val="both"/>
        <w:rPr>
          <w:rFonts w:ascii="Times New Roman" w:hAnsi="Times New Roman"/>
          <w:sz w:val="24"/>
          <w:szCs w:val="24"/>
        </w:rPr>
      </w:pPr>
      <w:r>
        <w:rPr>
          <w:rFonts w:ascii="Times New Roman" w:hAnsi="Times New Roman"/>
          <w:sz w:val="24"/>
          <w:szCs w:val="24"/>
        </w:rPr>
        <w:t>Energiaverojen tulonjakovaikutuksia arvioitiin Tilastokeskuksen Kulutustutkimus 2006 (Tilastokeskus 2009) perusaineiston avulla, joka käsitti 4007 kotitalouden otoksen.</w:t>
      </w:r>
    </w:p>
    <w:p w14:paraId="477E44E1" w14:textId="77777777" w:rsidR="00B574B3" w:rsidRDefault="00B574B3" w:rsidP="00197E44">
      <w:pPr>
        <w:jc w:val="both"/>
        <w:rPr>
          <w:rFonts w:ascii="Times New Roman" w:hAnsi="Times New Roman"/>
          <w:sz w:val="24"/>
          <w:szCs w:val="24"/>
        </w:rPr>
      </w:pPr>
      <w:r>
        <w:rPr>
          <w:rFonts w:ascii="Times New Roman" w:hAnsi="Times New Roman"/>
          <w:sz w:val="24"/>
          <w:szCs w:val="24"/>
        </w:rPr>
        <w:t xml:space="preserve">Kulutustutkimuksen hyvin yksityiskohtainen kulutushyödykeluokitus yhdisteltiin ENVIMAT-mallin 63 kulutushyödykkeen luokitukseen. Koska kulutustutkimuksen tiedot korotettuna koko väestö tasolle poikkeavat kansantalouden tilinpidon tiedoista, kulutustutkimuksen tietoja tasokorjattiin vastaamaan kansantalouden tilinpidon tietoja siten, että kulutushyödykkeittäin korjauskerroin oli jokaiselle otoskotitaloudelle sama. </w:t>
      </w:r>
    </w:p>
    <w:p w14:paraId="52255503" w14:textId="77777777" w:rsidR="00B574B3" w:rsidRDefault="00B574B3" w:rsidP="00197E44">
      <w:pPr>
        <w:jc w:val="both"/>
        <w:rPr>
          <w:rFonts w:ascii="Times New Roman" w:hAnsi="Times New Roman"/>
          <w:sz w:val="24"/>
          <w:szCs w:val="24"/>
        </w:rPr>
      </w:pPr>
      <w:r>
        <w:rPr>
          <w:rFonts w:ascii="Times New Roman" w:hAnsi="Times New Roman"/>
          <w:sz w:val="24"/>
          <w:szCs w:val="24"/>
        </w:rPr>
        <w:lastRenderedPageBreak/>
        <w:t>Hyödykkeiden kulutus muunnettiin vuoden 2010 hintatasoon hyödykekohtaisilla kuluttajahinta</w:t>
      </w:r>
      <w:r>
        <w:rPr>
          <w:rFonts w:ascii="Times New Roman" w:hAnsi="Times New Roman"/>
          <w:sz w:val="24"/>
          <w:szCs w:val="24"/>
        </w:rPr>
        <w:softHyphen/>
        <w:t>indeksien muutoksilla 2010/2006 (Tilastokeskus 2011).</w:t>
      </w:r>
    </w:p>
    <w:p w14:paraId="7D3B35CB" w14:textId="77777777" w:rsidR="00B574B3" w:rsidRDefault="00B574B3" w:rsidP="00197E44">
      <w:pPr>
        <w:jc w:val="both"/>
        <w:rPr>
          <w:rFonts w:ascii="Times New Roman" w:hAnsi="Times New Roman"/>
          <w:sz w:val="24"/>
          <w:szCs w:val="24"/>
        </w:rPr>
      </w:pPr>
      <w:r>
        <w:rPr>
          <w:rFonts w:ascii="Times New Roman" w:hAnsi="Times New Roman"/>
          <w:sz w:val="24"/>
          <w:szCs w:val="24"/>
        </w:rPr>
        <w:t xml:space="preserve">Kotitalouksien tulot tasokorjattiin niin ikään kulutushintaindeksin kokonaismuutoksella 2010/2006, eli kertoimella 1,088. </w:t>
      </w:r>
    </w:p>
    <w:p w14:paraId="638BA78D" w14:textId="77777777" w:rsidR="00B574B3" w:rsidRDefault="00B574B3" w:rsidP="00197E44">
      <w:pPr>
        <w:jc w:val="both"/>
        <w:rPr>
          <w:rFonts w:ascii="Times New Roman" w:hAnsi="Times New Roman"/>
          <w:sz w:val="24"/>
          <w:szCs w:val="24"/>
        </w:rPr>
      </w:pPr>
      <w:r>
        <w:rPr>
          <w:rFonts w:ascii="Times New Roman" w:hAnsi="Times New Roman"/>
          <w:sz w:val="24"/>
          <w:szCs w:val="24"/>
        </w:rPr>
        <w:t>Energiaverojen kustannusvaikutukset otoskotitalouksille saatiin kertomalla kunkin kotitalouden kulutusmenot kulutushyödykkeittäin energiaverovektorilla t</w:t>
      </w:r>
      <w:r w:rsidRPr="007C3F80">
        <w:rPr>
          <w:rFonts w:ascii="Times New Roman" w:hAnsi="Times New Roman"/>
          <w:sz w:val="24"/>
          <w:szCs w:val="24"/>
          <w:vertAlign w:val="superscript"/>
        </w:rPr>
        <w:t>C</w:t>
      </w:r>
      <w:r>
        <w:rPr>
          <w:rFonts w:ascii="Times New Roman" w:hAnsi="Times New Roman"/>
          <w:sz w:val="24"/>
          <w:szCs w:val="24"/>
        </w:rPr>
        <w:t>. Tähän tehtiin kuitenkin kaksi täsmennystä.</w:t>
      </w:r>
    </w:p>
    <w:p w14:paraId="7FA7C155" w14:textId="77777777" w:rsidR="00B574B3" w:rsidRDefault="00B574B3" w:rsidP="00197E44">
      <w:pPr>
        <w:jc w:val="both"/>
        <w:rPr>
          <w:rFonts w:ascii="Times New Roman" w:hAnsi="Times New Roman"/>
          <w:sz w:val="24"/>
          <w:szCs w:val="24"/>
        </w:rPr>
      </w:pPr>
      <w:r>
        <w:rPr>
          <w:rFonts w:ascii="Times New Roman" w:hAnsi="Times New Roman"/>
          <w:sz w:val="24"/>
          <w:szCs w:val="24"/>
        </w:rPr>
        <w:t>Kotitalouksien sähkön hinta vaihtelee johtuen erityisesti siitä kuuluuko sähkö lämmitystariffin piiriin vai ei. Ei-sähkölämmitteisten kotitalouksien sähkön hinta vuonna 2010 oli keskimäärin 14,4 c/kWh ja sähkölämmitteisille kotitalouksille 10,8 c/kWh (Tilastokeskus 2012). Koska sähkövero kohdistuu kulutettuun sähkömäärään, on energiaveron hintavaikutus alemman hintatason lämmityssähkölle suurempi kuin muulle sähkölle. Kulutustutkimuksen taustatiedoissa olevan asuntojen lämmitystapa-muuttujan avulla voitiin paikantaa sähkölämmitystä käyttävät kotitaloudet. Näille kotitalouksille sähkön ostajanhintaan sisältyvää keskimääräistä sähköverokerrointa korotettiin kertoimella 1,14 ja muille kotitalouksille alennettiin kertoimella 0,86.</w:t>
      </w:r>
    </w:p>
    <w:p w14:paraId="61B0D668" w14:textId="77777777" w:rsidR="00B574B3" w:rsidRDefault="00B574B3" w:rsidP="00197E44">
      <w:pPr>
        <w:jc w:val="both"/>
        <w:rPr>
          <w:rFonts w:ascii="Times New Roman" w:hAnsi="Times New Roman"/>
          <w:sz w:val="24"/>
          <w:szCs w:val="24"/>
        </w:rPr>
      </w:pPr>
      <w:r>
        <w:rPr>
          <w:rFonts w:ascii="Times New Roman" w:hAnsi="Times New Roman"/>
          <w:sz w:val="24"/>
          <w:szCs w:val="24"/>
        </w:rPr>
        <w:t>Toinen tarkennus liittyy vuokra- ja osakeasuntojen lämmitysenergiaan</w:t>
      </w:r>
      <w:r w:rsidR="00603419">
        <w:rPr>
          <w:rFonts w:ascii="Times New Roman" w:hAnsi="Times New Roman"/>
          <w:sz w:val="24"/>
          <w:szCs w:val="24"/>
        </w:rPr>
        <w:t>, jonka</w:t>
      </w:r>
      <w:r>
        <w:rPr>
          <w:rFonts w:ascii="Times New Roman" w:hAnsi="Times New Roman"/>
          <w:sz w:val="24"/>
          <w:szCs w:val="24"/>
        </w:rPr>
        <w:t xml:space="preserve"> kustannukset sisältyvät asuntovuokriin ja hoitovastikkeisiin. Kulutustutkimuksen taustamuuttujissa on asuntojen hallintasuhde, josta voidaan paikantaa vuokra- ja osakeasunnoissa asuvat kotitaloudet ja lisäksi taustamuuttujana on asunnon pinta-ala. ENVIMAT mallissa Asuntojen hallinta- ja vuokraustoimialaan sisältyy näiden asuntojen lämmitysenergian kulutus.  Kotitalouksien vuokriin ja hoitovastikkeisiin sisältyvät energiaverot saatiin jakamalla Asuntojen hallinta- ja vuokraustoimialan energiaverokustannukset vuokra- ja osakeasunnoissa asuville kotitalouksille asuntopinta-alan mukaisissa suhteissa.</w:t>
      </w:r>
    </w:p>
    <w:p w14:paraId="581E4FC9" w14:textId="77777777" w:rsidR="002D18EA" w:rsidRDefault="002D18EA" w:rsidP="00197E44">
      <w:pPr>
        <w:jc w:val="both"/>
        <w:rPr>
          <w:rFonts w:ascii="Times New Roman" w:hAnsi="Times New Roman"/>
          <w:sz w:val="24"/>
          <w:szCs w:val="24"/>
        </w:rPr>
      </w:pPr>
    </w:p>
    <w:p w14:paraId="1DE7C377" w14:textId="77777777" w:rsidR="00B574B3" w:rsidRPr="002D18EA" w:rsidRDefault="002D18EA" w:rsidP="002D18EA">
      <w:pPr>
        <w:pStyle w:val="Otsikko2"/>
        <w:numPr>
          <w:ilvl w:val="0"/>
          <w:numId w:val="0"/>
        </w:numPr>
        <w:ind w:left="576" w:hanging="576"/>
        <w:rPr>
          <w:u w:val="single"/>
        </w:rPr>
      </w:pPr>
      <w:bookmarkStart w:id="12" w:name="_Toc327190991"/>
      <w:r w:rsidRPr="002D18EA">
        <w:rPr>
          <w:u w:val="single"/>
        </w:rPr>
        <w:t>Energiaverot energiayksikköä kohti</w:t>
      </w:r>
      <w:bookmarkEnd w:id="12"/>
    </w:p>
    <w:p w14:paraId="5F425FDB" w14:textId="77777777" w:rsidR="00973FE8" w:rsidRDefault="002D18EA" w:rsidP="00973FE8">
      <w:pPr>
        <w:jc w:val="both"/>
        <w:rPr>
          <w:rFonts w:ascii="Times New Roman" w:hAnsi="Times New Roman"/>
          <w:sz w:val="24"/>
          <w:szCs w:val="24"/>
        </w:rPr>
      </w:pPr>
      <w:r>
        <w:rPr>
          <w:rFonts w:ascii="Times New Roman" w:hAnsi="Times New Roman"/>
          <w:sz w:val="24"/>
          <w:szCs w:val="24"/>
        </w:rPr>
        <w:t>Energialainsäädännössä energiaverot eri energialajeille on ilmaistu toisistaan poikkeavissa yksiköissä. Koska laskentamallissa energiankulutus on ilmaistu energiayksiköissä, myös energia</w:t>
      </w:r>
      <w:r w:rsidR="00973FE8">
        <w:rPr>
          <w:rFonts w:ascii="Times New Roman" w:hAnsi="Times New Roman"/>
          <w:sz w:val="24"/>
          <w:szCs w:val="24"/>
        </w:rPr>
        <w:t>-</w:t>
      </w:r>
      <w:r>
        <w:rPr>
          <w:rFonts w:ascii="Times New Roman" w:hAnsi="Times New Roman"/>
          <w:sz w:val="24"/>
          <w:szCs w:val="24"/>
        </w:rPr>
        <w:t>verot muunnettiin yhtenäisesti energiayksikköä kohti lasketuiksi. Muuntokertoimet energiaverolain yksiköistä energiayksiköihin on esitetty seuraavassa:</w:t>
      </w:r>
    </w:p>
    <w:tbl>
      <w:tblPr>
        <w:tblW w:w="4520" w:type="dxa"/>
        <w:tblInd w:w="55" w:type="dxa"/>
        <w:tblCellMar>
          <w:left w:w="70" w:type="dxa"/>
          <w:right w:w="70" w:type="dxa"/>
        </w:tblCellMar>
        <w:tblLook w:val="04A0" w:firstRow="1" w:lastRow="0" w:firstColumn="1" w:lastColumn="0" w:noHBand="0" w:noVBand="1"/>
      </w:tblPr>
      <w:tblGrid>
        <w:gridCol w:w="2180"/>
        <w:gridCol w:w="1280"/>
        <w:gridCol w:w="1060"/>
      </w:tblGrid>
      <w:tr w:rsidR="00973FE8" w:rsidRPr="00973FE8" w14:paraId="7067F35A" w14:textId="77777777" w:rsidTr="00973FE8">
        <w:trPr>
          <w:trHeight w:val="170"/>
        </w:trPr>
        <w:tc>
          <w:tcPr>
            <w:tcW w:w="2180" w:type="dxa"/>
            <w:tcBorders>
              <w:top w:val="single" w:sz="4" w:space="0" w:color="auto"/>
              <w:left w:val="nil"/>
              <w:bottom w:val="nil"/>
              <w:right w:val="nil"/>
            </w:tcBorders>
            <w:shd w:val="clear" w:color="auto" w:fill="auto"/>
            <w:noWrap/>
            <w:vAlign w:val="bottom"/>
            <w:hideMark/>
          </w:tcPr>
          <w:p w14:paraId="1064342C"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 </w:t>
            </w:r>
          </w:p>
        </w:tc>
        <w:tc>
          <w:tcPr>
            <w:tcW w:w="1280" w:type="dxa"/>
            <w:tcBorders>
              <w:top w:val="single" w:sz="4" w:space="0" w:color="auto"/>
              <w:left w:val="nil"/>
              <w:bottom w:val="nil"/>
              <w:right w:val="nil"/>
            </w:tcBorders>
            <w:shd w:val="clear" w:color="auto" w:fill="auto"/>
            <w:noWrap/>
            <w:vAlign w:val="bottom"/>
            <w:hideMark/>
          </w:tcPr>
          <w:p w14:paraId="6F3226C4"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Mitta-</w:t>
            </w:r>
          </w:p>
        </w:tc>
        <w:tc>
          <w:tcPr>
            <w:tcW w:w="1060" w:type="dxa"/>
            <w:tcBorders>
              <w:top w:val="single" w:sz="4" w:space="0" w:color="auto"/>
              <w:left w:val="nil"/>
              <w:bottom w:val="nil"/>
              <w:right w:val="nil"/>
            </w:tcBorders>
            <w:shd w:val="clear" w:color="auto" w:fill="auto"/>
            <w:noWrap/>
            <w:vAlign w:val="bottom"/>
            <w:hideMark/>
          </w:tcPr>
          <w:p w14:paraId="7206228A"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Muunto</w:t>
            </w:r>
          </w:p>
        </w:tc>
      </w:tr>
      <w:tr w:rsidR="00973FE8" w:rsidRPr="00973FE8" w14:paraId="3804E1AF" w14:textId="77777777" w:rsidTr="00973FE8">
        <w:trPr>
          <w:trHeight w:val="170"/>
        </w:trPr>
        <w:tc>
          <w:tcPr>
            <w:tcW w:w="2180" w:type="dxa"/>
            <w:tcBorders>
              <w:top w:val="nil"/>
              <w:left w:val="nil"/>
              <w:bottom w:val="single" w:sz="4" w:space="0" w:color="auto"/>
              <w:right w:val="nil"/>
            </w:tcBorders>
            <w:shd w:val="clear" w:color="auto" w:fill="auto"/>
            <w:noWrap/>
            <w:vAlign w:val="bottom"/>
            <w:hideMark/>
          </w:tcPr>
          <w:p w14:paraId="5EEFC133"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Energialaji</w:t>
            </w:r>
          </w:p>
        </w:tc>
        <w:tc>
          <w:tcPr>
            <w:tcW w:w="1280" w:type="dxa"/>
            <w:tcBorders>
              <w:top w:val="nil"/>
              <w:left w:val="nil"/>
              <w:bottom w:val="single" w:sz="4" w:space="0" w:color="auto"/>
              <w:right w:val="nil"/>
            </w:tcBorders>
            <w:shd w:val="clear" w:color="auto" w:fill="auto"/>
            <w:noWrap/>
            <w:vAlign w:val="bottom"/>
            <w:hideMark/>
          </w:tcPr>
          <w:p w14:paraId="2ED3A4F5"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yksikkö</w:t>
            </w:r>
          </w:p>
        </w:tc>
        <w:tc>
          <w:tcPr>
            <w:tcW w:w="1060" w:type="dxa"/>
            <w:tcBorders>
              <w:top w:val="nil"/>
              <w:left w:val="nil"/>
              <w:bottom w:val="single" w:sz="4" w:space="0" w:color="auto"/>
              <w:right w:val="nil"/>
            </w:tcBorders>
            <w:shd w:val="clear" w:color="auto" w:fill="auto"/>
            <w:noWrap/>
            <w:vAlign w:val="bottom"/>
            <w:hideMark/>
          </w:tcPr>
          <w:p w14:paraId="086C2645"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eur/MWh</w:t>
            </w:r>
          </w:p>
        </w:tc>
      </w:tr>
      <w:tr w:rsidR="00973FE8" w:rsidRPr="00973FE8" w14:paraId="56EFA832" w14:textId="77777777" w:rsidTr="00973FE8">
        <w:trPr>
          <w:trHeight w:val="170"/>
        </w:trPr>
        <w:tc>
          <w:tcPr>
            <w:tcW w:w="2180" w:type="dxa"/>
            <w:tcBorders>
              <w:top w:val="nil"/>
              <w:left w:val="nil"/>
              <w:bottom w:val="nil"/>
              <w:right w:val="nil"/>
            </w:tcBorders>
            <w:shd w:val="clear" w:color="auto" w:fill="auto"/>
            <w:noWrap/>
            <w:vAlign w:val="bottom"/>
            <w:hideMark/>
          </w:tcPr>
          <w:p w14:paraId="2E52CE64"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 xml:space="preserve">Moottoribensiini </w:t>
            </w:r>
          </w:p>
        </w:tc>
        <w:tc>
          <w:tcPr>
            <w:tcW w:w="1280" w:type="dxa"/>
            <w:tcBorders>
              <w:top w:val="nil"/>
              <w:left w:val="nil"/>
              <w:bottom w:val="nil"/>
              <w:right w:val="nil"/>
            </w:tcBorders>
            <w:shd w:val="clear" w:color="auto" w:fill="auto"/>
            <w:noWrap/>
            <w:vAlign w:val="bottom"/>
            <w:hideMark/>
          </w:tcPr>
          <w:p w14:paraId="39C4A7AC"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snt/l</w:t>
            </w:r>
          </w:p>
        </w:tc>
        <w:tc>
          <w:tcPr>
            <w:tcW w:w="1060" w:type="dxa"/>
            <w:tcBorders>
              <w:top w:val="nil"/>
              <w:left w:val="nil"/>
              <w:bottom w:val="nil"/>
              <w:right w:val="nil"/>
            </w:tcBorders>
            <w:shd w:val="clear" w:color="auto" w:fill="auto"/>
            <w:noWrap/>
            <w:vAlign w:val="bottom"/>
            <w:hideMark/>
          </w:tcPr>
          <w:p w14:paraId="4861470D"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1,167</w:t>
            </w:r>
          </w:p>
        </w:tc>
      </w:tr>
      <w:tr w:rsidR="00973FE8" w:rsidRPr="00973FE8" w14:paraId="7964BF2D" w14:textId="77777777" w:rsidTr="00973FE8">
        <w:trPr>
          <w:trHeight w:val="170"/>
        </w:trPr>
        <w:tc>
          <w:tcPr>
            <w:tcW w:w="2180" w:type="dxa"/>
            <w:tcBorders>
              <w:top w:val="nil"/>
              <w:left w:val="nil"/>
              <w:bottom w:val="nil"/>
              <w:right w:val="nil"/>
            </w:tcBorders>
            <w:shd w:val="clear" w:color="auto" w:fill="auto"/>
            <w:noWrap/>
            <w:vAlign w:val="bottom"/>
            <w:hideMark/>
          </w:tcPr>
          <w:p w14:paraId="43146446"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 xml:space="preserve">Dieselöljy </w:t>
            </w:r>
          </w:p>
        </w:tc>
        <w:tc>
          <w:tcPr>
            <w:tcW w:w="1280" w:type="dxa"/>
            <w:tcBorders>
              <w:top w:val="nil"/>
              <w:left w:val="nil"/>
              <w:bottom w:val="nil"/>
              <w:right w:val="nil"/>
            </w:tcBorders>
            <w:shd w:val="clear" w:color="auto" w:fill="auto"/>
            <w:noWrap/>
            <w:vAlign w:val="bottom"/>
            <w:hideMark/>
          </w:tcPr>
          <w:p w14:paraId="0057B0AB"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snt/l</w:t>
            </w:r>
          </w:p>
        </w:tc>
        <w:tc>
          <w:tcPr>
            <w:tcW w:w="1060" w:type="dxa"/>
            <w:tcBorders>
              <w:top w:val="nil"/>
              <w:left w:val="nil"/>
              <w:bottom w:val="nil"/>
              <w:right w:val="nil"/>
            </w:tcBorders>
            <w:shd w:val="clear" w:color="auto" w:fill="auto"/>
            <w:noWrap/>
            <w:vAlign w:val="bottom"/>
            <w:hideMark/>
          </w:tcPr>
          <w:p w14:paraId="3F213E6D"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1,004</w:t>
            </w:r>
          </w:p>
        </w:tc>
      </w:tr>
      <w:tr w:rsidR="00973FE8" w:rsidRPr="00973FE8" w14:paraId="7D760408" w14:textId="77777777" w:rsidTr="00973FE8">
        <w:trPr>
          <w:trHeight w:val="170"/>
        </w:trPr>
        <w:tc>
          <w:tcPr>
            <w:tcW w:w="2180" w:type="dxa"/>
            <w:tcBorders>
              <w:top w:val="nil"/>
              <w:left w:val="nil"/>
              <w:bottom w:val="nil"/>
              <w:right w:val="nil"/>
            </w:tcBorders>
            <w:shd w:val="clear" w:color="auto" w:fill="auto"/>
            <w:noWrap/>
            <w:vAlign w:val="bottom"/>
            <w:hideMark/>
          </w:tcPr>
          <w:p w14:paraId="290718EF"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Kevyt polttoöljy</w:t>
            </w:r>
          </w:p>
        </w:tc>
        <w:tc>
          <w:tcPr>
            <w:tcW w:w="1280" w:type="dxa"/>
            <w:tcBorders>
              <w:top w:val="nil"/>
              <w:left w:val="nil"/>
              <w:bottom w:val="nil"/>
              <w:right w:val="nil"/>
            </w:tcBorders>
            <w:shd w:val="clear" w:color="auto" w:fill="auto"/>
            <w:noWrap/>
            <w:vAlign w:val="bottom"/>
            <w:hideMark/>
          </w:tcPr>
          <w:p w14:paraId="10545EC5"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snt/l</w:t>
            </w:r>
          </w:p>
        </w:tc>
        <w:tc>
          <w:tcPr>
            <w:tcW w:w="1060" w:type="dxa"/>
            <w:tcBorders>
              <w:top w:val="nil"/>
              <w:left w:val="nil"/>
              <w:bottom w:val="nil"/>
              <w:right w:val="nil"/>
            </w:tcBorders>
            <w:shd w:val="clear" w:color="auto" w:fill="auto"/>
            <w:noWrap/>
            <w:vAlign w:val="bottom"/>
            <w:hideMark/>
          </w:tcPr>
          <w:p w14:paraId="0FC46C28"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1,002</w:t>
            </w:r>
          </w:p>
        </w:tc>
      </w:tr>
      <w:tr w:rsidR="00973FE8" w:rsidRPr="00973FE8" w14:paraId="0E55C2D2" w14:textId="77777777" w:rsidTr="00973FE8">
        <w:trPr>
          <w:trHeight w:val="170"/>
        </w:trPr>
        <w:tc>
          <w:tcPr>
            <w:tcW w:w="2180" w:type="dxa"/>
            <w:tcBorders>
              <w:top w:val="nil"/>
              <w:left w:val="nil"/>
              <w:bottom w:val="nil"/>
              <w:right w:val="nil"/>
            </w:tcBorders>
            <w:shd w:val="clear" w:color="auto" w:fill="auto"/>
            <w:noWrap/>
            <w:vAlign w:val="bottom"/>
            <w:hideMark/>
          </w:tcPr>
          <w:p w14:paraId="3385AE61"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Raskas polttoöljy</w:t>
            </w:r>
          </w:p>
        </w:tc>
        <w:tc>
          <w:tcPr>
            <w:tcW w:w="1280" w:type="dxa"/>
            <w:tcBorders>
              <w:top w:val="nil"/>
              <w:left w:val="nil"/>
              <w:bottom w:val="nil"/>
              <w:right w:val="nil"/>
            </w:tcBorders>
            <w:shd w:val="clear" w:color="auto" w:fill="auto"/>
            <w:noWrap/>
            <w:vAlign w:val="bottom"/>
            <w:hideMark/>
          </w:tcPr>
          <w:p w14:paraId="2A7F824D"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snt/kg</w:t>
            </w:r>
          </w:p>
        </w:tc>
        <w:tc>
          <w:tcPr>
            <w:tcW w:w="1060" w:type="dxa"/>
            <w:tcBorders>
              <w:top w:val="nil"/>
              <w:left w:val="nil"/>
              <w:bottom w:val="nil"/>
              <w:right w:val="nil"/>
            </w:tcBorders>
            <w:shd w:val="clear" w:color="auto" w:fill="auto"/>
            <w:noWrap/>
            <w:vAlign w:val="bottom"/>
            <w:hideMark/>
          </w:tcPr>
          <w:p w14:paraId="78B68D40"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0,876</w:t>
            </w:r>
          </w:p>
        </w:tc>
      </w:tr>
      <w:tr w:rsidR="00973FE8" w:rsidRPr="00973FE8" w14:paraId="50B55C72" w14:textId="77777777" w:rsidTr="00973FE8">
        <w:trPr>
          <w:trHeight w:val="170"/>
        </w:trPr>
        <w:tc>
          <w:tcPr>
            <w:tcW w:w="2180" w:type="dxa"/>
            <w:tcBorders>
              <w:top w:val="nil"/>
              <w:left w:val="nil"/>
              <w:bottom w:val="nil"/>
              <w:right w:val="nil"/>
            </w:tcBorders>
            <w:shd w:val="clear" w:color="auto" w:fill="auto"/>
            <w:noWrap/>
            <w:vAlign w:val="bottom"/>
            <w:hideMark/>
          </w:tcPr>
          <w:p w14:paraId="0B1F9B6E"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Kivihiili</w:t>
            </w:r>
          </w:p>
        </w:tc>
        <w:tc>
          <w:tcPr>
            <w:tcW w:w="1280" w:type="dxa"/>
            <w:tcBorders>
              <w:top w:val="nil"/>
              <w:left w:val="nil"/>
              <w:bottom w:val="nil"/>
              <w:right w:val="nil"/>
            </w:tcBorders>
            <w:shd w:val="clear" w:color="auto" w:fill="auto"/>
            <w:noWrap/>
            <w:vAlign w:val="bottom"/>
            <w:hideMark/>
          </w:tcPr>
          <w:p w14:paraId="569A73B9"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€/t</w:t>
            </w:r>
          </w:p>
        </w:tc>
        <w:tc>
          <w:tcPr>
            <w:tcW w:w="1060" w:type="dxa"/>
            <w:tcBorders>
              <w:top w:val="nil"/>
              <w:left w:val="nil"/>
              <w:bottom w:val="nil"/>
              <w:right w:val="nil"/>
            </w:tcBorders>
            <w:shd w:val="clear" w:color="auto" w:fill="auto"/>
            <w:noWrap/>
            <w:vAlign w:val="bottom"/>
            <w:hideMark/>
          </w:tcPr>
          <w:p w14:paraId="7E5652D9"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0,143</w:t>
            </w:r>
          </w:p>
        </w:tc>
      </w:tr>
      <w:tr w:rsidR="00973FE8" w:rsidRPr="00973FE8" w14:paraId="5DD5AB80" w14:textId="77777777" w:rsidTr="00973FE8">
        <w:trPr>
          <w:trHeight w:val="170"/>
        </w:trPr>
        <w:tc>
          <w:tcPr>
            <w:tcW w:w="2180" w:type="dxa"/>
            <w:tcBorders>
              <w:top w:val="nil"/>
              <w:left w:val="nil"/>
              <w:bottom w:val="nil"/>
              <w:right w:val="nil"/>
            </w:tcBorders>
            <w:shd w:val="clear" w:color="auto" w:fill="auto"/>
            <w:noWrap/>
            <w:vAlign w:val="bottom"/>
            <w:hideMark/>
          </w:tcPr>
          <w:p w14:paraId="58A866F1"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Maakaasu</w:t>
            </w:r>
          </w:p>
        </w:tc>
        <w:tc>
          <w:tcPr>
            <w:tcW w:w="1280" w:type="dxa"/>
            <w:tcBorders>
              <w:top w:val="nil"/>
              <w:left w:val="nil"/>
              <w:bottom w:val="nil"/>
              <w:right w:val="nil"/>
            </w:tcBorders>
            <w:shd w:val="clear" w:color="auto" w:fill="auto"/>
            <w:noWrap/>
            <w:vAlign w:val="bottom"/>
            <w:hideMark/>
          </w:tcPr>
          <w:p w14:paraId="4F820A1C"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€/MWh</w:t>
            </w:r>
          </w:p>
        </w:tc>
        <w:tc>
          <w:tcPr>
            <w:tcW w:w="1060" w:type="dxa"/>
            <w:tcBorders>
              <w:top w:val="nil"/>
              <w:left w:val="nil"/>
              <w:bottom w:val="nil"/>
              <w:right w:val="nil"/>
            </w:tcBorders>
            <w:shd w:val="clear" w:color="auto" w:fill="auto"/>
            <w:noWrap/>
            <w:vAlign w:val="bottom"/>
            <w:hideMark/>
          </w:tcPr>
          <w:p w14:paraId="4ACAB6DA"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1,000</w:t>
            </w:r>
          </w:p>
        </w:tc>
      </w:tr>
      <w:tr w:rsidR="00973FE8" w:rsidRPr="00973FE8" w14:paraId="5AF618BE" w14:textId="77777777" w:rsidTr="00973FE8">
        <w:trPr>
          <w:trHeight w:val="170"/>
        </w:trPr>
        <w:tc>
          <w:tcPr>
            <w:tcW w:w="2180" w:type="dxa"/>
            <w:tcBorders>
              <w:top w:val="nil"/>
              <w:left w:val="nil"/>
              <w:bottom w:val="nil"/>
              <w:right w:val="nil"/>
            </w:tcBorders>
            <w:shd w:val="clear" w:color="auto" w:fill="auto"/>
            <w:noWrap/>
            <w:vAlign w:val="bottom"/>
            <w:hideMark/>
          </w:tcPr>
          <w:p w14:paraId="69213353"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Turve</w:t>
            </w:r>
          </w:p>
        </w:tc>
        <w:tc>
          <w:tcPr>
            <w:tcW w:w="1280" w:type="dxa"/>
            <w:tcBorders>
              <w:top w:val="nil"/>
              <w:left w:val="nil"/>
              <w:bottom w:val="nil"/>
              <w:right w:val="nil"/>
            </w:tcBorders>
            <w:shd w:val="clear" w:color="auto" w:fill="auto"/>
            <w:noWrap/>
            <w:vAlign w:val="bottom"/>
            <w:hideMark/>
          </w:tcPr>
          <w:p w14:paraId="39BAF196"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€/MWh</w:t>
            </w:r>
          </w:p>
        </w:tc>
        <w:tc>
          <w:tcPr>
            <w:tcW w:w="1060" w:type="dxa"/>
            <w:tcBorders>
              <w:top w:val="nil"/>
              <w:left w:val="nil"/>
              <w:bottom w:val="nil"/>
              <w:right w:val="nil"/>
            </w:tcBorders>
            <w:shd w:val="clear" w:color="auto" w:fill="auto"/>
            <w:noWrap/>
            <w:vAlign w:val="bottom"/>
            <w:hideMark/>
          </w:tcPr>
          <w:p w14:paraId="53D2D9B0"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1,000</w:t>
            </w:r>
          </w:p>
        </w:tc>
      </w:tr>
      <w:tr w:rsidR="00973FE8" w:rsidRPr="00973FE8" w14:paraId="3918543D" w14:textId="77777777" w:rsidTr="00973FE8">
        <w:trPr>
          <w:trHeight w:val="170"/>
        </w:trPr>
        <w:tc>
          <w:tcPr>
            <w:tcW w:w="2180" w:type="dxa"/>
            <w:tcBorders>
              <w:top w:val="nil"/>
              <w:left w:val="nil"/>
              <w:bottom w:val="nil"/>
              <w:right w:val="nil"/>
            </w:tcBorders>
            <w:shd w:val="clear" w:color="auto" w:fill="auto"/>
            <w:noWrap/>
            <w:vAlign w:val="bottom"/>
            <w:hideMark/>
          </w:tcPr>
          <w:p w14:paraId="2E2008C4"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Sähkö vl I</w:t>
            </w:r>
          </w:p>
        </w:tc>
        <w:tc>
          <w:tcPr>
            <w:tcW w:w="1280" w:type="dxa"/>
            <w:tcBorders>
              <w:top w:val="nil"/>
              <w:left w:val="nil"/>
              <w:bottom w:val="nil"/>
              <w:right w:val="nil"/>
            </w:tcBorders>
            <w:shd w:val="clear" w:color="auto" w:fill="auto"/>
            <w:noWrap/>
            <w:vAlign w:val="bottom"/>
            <w:hideMark/>
          </w:tcPr>
          <w:p w14:paraId="1DFD1595"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snt/kWh</w:t>
            </w:r>
          </w:p>
        </w:tc>
        <w:tc>
          <w:tcPr>
            <w:tcW w:w="1060" w:type="dxa"/>
            <w:tcBorders>
              <w:top w:val="nil"/>
              <w:left w:val="nil"/>
              <w:bottom w:val="nil"/>
              <w:right w:val="nil"/>
            </w:tcBorders>
            <w:shd w:val="clear" w:color="auto" w:fill="auto"/>
            <w:noWrap/>
            <w:vAlign w:val="bottom"/>
            <w:hideMark/>
          </w:tcPr>
          <w:p w14:paraId="1131A875"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10,000</w:t>
            </w:r>
          </w:p>
        </w:tc>
      </w:tr>
      <w:tr w:rsidR="00973FE8" w:rsidRPr="00973FE8" w14:paraId="23BA1A6E" w14:textId="77777777" w:rsidTr="00973FE8">
        <w:trPr>
          <w:trHeight w:val="170"/>
        </w:trPr>
        <w:tc>
          <w:tcPr>
            <w:tcW w:w="2180" w:type="dxa"/>
            <w:tcBorders>
              <w:top w:val="nil"/>
              <w:left w:val="nil"/>
              <w:bottom w:val="single" w:sz="4" w:space="0" w:color="auto"/>
              <w:right w:val="nil"/>
            </w:tcBorders>
            <w:shd w:val="clear" w:color="auto" w:fill="auto"/>
            <w:noWrap/>
            <w:vAlign w:val="bottom"/>
            <w:hideMark/>
          </w:tcPr>
          <w:p w14:paraId="756489CA"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 xml:space="preserve">Sähkö vl II </w:t>
            </w:r>
          </w:p>
        </w:tc>
        <w:tc>
          <w:tcPr>
            <w:tcW w:w="1280" w:type="dxa"/>
            <w:tcBorders>
              <w:top w:val="nil"/>
              <w:left w:val="nil"/>
              <w:bottom w:val="single" w:sz="4" w:space="0" w:color="auto"/>
              <w:right w:val="nil"/>
            </w:tcBorders>
            <w:shd w:val="clear" w:color="auto" w:fill="auto"/>
            <w:noWrap/>
            <w:vAlign w:val="bottom"/>
            <w:hideMark/>
          </w:tcPr>
          <w:p w14:paraId="2D06FE39" w14:textId="77777777" w:rsidR="00973FE8" w:rsidRPr="00973FE8" w:rsidRDefault="00973FE8" w:rsidP="00973FE8">
            <w:pPr>
              <w:spacing w:after="0" w:line="240" w:lineRule="auto"/>
              <w:rPr>
                <w:rFonts w:eastAsia="Times New Roman" w:cs="Calibri"/>
                <w:color w:val="000000"/>
                <w:lang w:eastAsia="fi-FI"/>
              </w:rPr>
            </w:pPr>
            <w:r w:rsidRPr="00973FE8">
              <w:rPr>
                <w:rFonts w:eastAsia="Times New Roman" w:cs="Calibri"/>
                <w:color w:val="000000"/>
                <w:lang w:eastAsia="fi-FI"/>
              </w:rPr>
              <w:t>snt/kWh</w:t>
            </w:r>
          </w:p>
        </w:tc>
        <w:tc>
          <w:tcPr>
            <w:tcW w:w="1060" w:type="dxa"/>
            <w:tcBorders>
              <w:top w:val="nil"/>
              <w:left w:val="nil"/>
              <w:bottom w:val="single" w:sz="4" w:space="0" w:color="auto"/>
              <w:right w:val="nil"/>
            </w:tcBorders>
            <w:shd w:val="clear" w:color="auto" w:fill="auto"/>
            <w:noWrap/>
            <w:vAlign w:val="bottom"/>
            <w:hideMark/>
          </w:tcPr>
          <w:p w14:paraId="0053A3A8" w14:textId="77777777" w:rsidR="00973FE8" w:rsidRPr="00973FE8" w:rsidRDefault="00973FE8" w:rsidP="00973FE8">
            <w:pPr>
              <w:spacing w:after="0" w:line="240" w:lineRule="auto"/>
              <w:jc w:val="right"/>
              <w:rPr>
                <w:rFonts w:eastAsia="Times New Roman" w:cs="Calibri"/>
                <w:color w:val="000000"/>
                <w:lang w:eastAsia="fi-FI"/>
              </w:rPr>
            </w:pPr>
            <w:r w:rsidRPr="00973FE8">
              <w:rPr>
                <w:rFonts w:eastAsia="Times New Roman" w:cs="Calibri"/>
                <w:color w:val="000000"/>
                <w:lang w:eastAsia="fi-FI"/>
              </w:rPr>
              <w:t>10,000</w:t>
            </w:r>
          </w:p>
        </w:tc>
      </w:tr>
    </w:tbl>
    <w:p w14:paraId="3594C2DB" w14:textId="77777777" w:rsidR="00B574B3" w:rsidRPr="007C3F80" w:rsidRDefault="00973FE8" w:rsidP="00973FE8">
      <w:pPr>
        <w:jc w:val="both"/>
        <w:rPr>
          <w:rFonts w:ascii="Times New Roman" w:hAnsi="Times New Roman"/>
          <w:sz w:val="24"/>
          <w:szCs w:val="24"/>
        </w:rPr>
      </w:pPr>
      <w:r>
        <w:rPr>
          <w:rFonts w:ascii="Times New Roman" w:hAnsi="Times New Roman"/>
          <w:sz w:val="24"/>
          <w:szCs w:val="24"/>
        </w:rPr>
        <w:lastRenderedPageBreak/>
        <w:t>Moottoribensiinin, dieselöljyn ja kevyen polttoöljyn muuntokertoimissa on otettu huomioon biopolttonesteiden mineraalisia polttonesteitä pienempi energiatiheys biopolttonesteiden vuoden 2011 osuuksilla.</w:t>
      </w:r>
    </w:p>
    <w:p w14:paraId="27042C11" w14:textId="77777777" w:rsidR="00B574B3" w:rsidRPr="00B9595F" w:rsidRDefault="00B574B3" w:rsidP="00B9595F">
      <w:pPr>
        <w:rPr>
          <w:rFonts w:ascii="Times New Roman" w:hAnsi="Times New Roman"/>
          <w:sz w:val="24"/>
          <w:szCs w:val="24"/>
        </w:rPr>
      </w:pPr>
    </w:p>
    <w:p w14:paraId="661B6037" w14:textId="77777777" w:rsidR="00B574B3" w:rsidRDefault="00B574B3" w:rsidP="0037368A">
      <w:pPr>
        <w:ind w:firstLine="1304"/>
        <w:rPr>
          <w:rFonts w:ascii="Times New Roman" w:hAnsi="Times New Roman"/>
          <w:sz w:val="24"/>
          <w:szCs w:val="24"/>
        </w:rPr>
      </w:pPr>
    </w:p>
    <w:sectPr w:rsidR="00B574B3" w:rsidSect="000C72F7">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4EBE6" w14:textId="77777777" w:rsidR="00C95285" w:rsidRDefault="00C95285" w:rsidP="001C1201">
      <w:pPr>
        <w:spacing w:after="0" w:line="240" w:lineRule="auto"/>
      </w:pPr>
      <w:r>
        <w:separator/>
      </w:r>
    </w:p>
  </w:endnote>
  <w:endnote w:type="continuationSeparator" w:id="0">
    <w:p w14:paraId="2EE5B094" w14:textId="77777777" w:rsidR="00C95285" w:rsidRDefault="00C95285" w:rsidP="001C1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0F552" w14:textId="77777777" w:rsidR="004D7056" w:rsidRDefault="004D7056">
    <w:pPr>
      <w:pStyle w:val="Alatunniste"/>
      <w:jc w:val="right"/>
    </w:pPr>
    <w:r>
      <w:fldChar w:fldCharType="begin"/>
    </w:r>
    <w:r>
      <w:instrText>PAGE   \* MERGEFORMAT</w:instrText>
    </w:r>
    <w:r>
      <w:fldChar w:fldCharType="separate"/>
    </w:r>
    <w:r w:rsidR="00381777">
      <w:rPr>
        <w:noProof/>
      </w:rPr>
      <w:t>1</w:t>
    </w:r>
    <w:r>
      <w:rPr>
        <w:noProof/>
      </w:rPr>
      <w:fldChar w:fldCharType="end"/>
    </w:r>
  </w:p>
  <w:p w14:paraId="65C03FFA" w14:textId="77777777" w:rsidR="004D7056" w:rsidRDefault="004D7056">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6A5C" w14:textId="77777777" w:rsidR="00C95285" w:rsidRDefault="00C95285" w:rsidP="001C1201">
      <w:pPr>
        <w:spacing w:after="0" w:line="240" w:lineRule="auto"/>
      </w:pPr>
      <w:r>
        <w:separator/>
      </w:r>
    </w:p>
  </w:footnote>
  <w:footnote w:type="continuationSeparator" w:id="0">
    <w:p w14:paraId="2A58A417" w14:textId="77777777" w:rsidR="00C95285" w:rsidRDefault="00C95285" w:rsidP="001C12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27C1D"/>
    <w:multiLevelType w:val="hybridMultilevel"/>
    <w:tmpl w:val="1A7675E2"/>
    <w:lvl w:ilvl="0" w:tplc="336E7F04">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1">
    <w:nsid w:val="20F629DB"/>
    <w:multiLevelType w:val="hybridMultilevel"/>
    <w:tmpl w:val="73B41A5C"/>
    <w:lvl w:ilvl="0" w:tplc="266C7B66">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45164F3"/>
    <w:multiLevelType w:val="multilevel"/>
    <w:tmpl w:val="2D9AF190"/>
    <w:lvl w:ilvl="0">
      <w:start w:val="1"/>
      <w:numFmt w:val="decimal"/>
      <w:pStyle w:val="Otsikko1"/>
      <w:lvlText w:val="%1"/>
      <w:lvlJc w:val="left"/>
      <w:pPr>
        <w:ind w:left="432" w:hanging="432"/>
      </w:pPr>
      <w:rPr>
        <w:rFonts w:cs="Times New Roman"/>
      </w:rPr>
    </w:lvl>
    <w:lvl w:ilvl="1">
      <w:start w:val="1"/>
      <w:numFmt w:val="decimal"/>
      <w:pStyle w:val="Otsikko2"/>
      <w:lvlText w:val="%1.%2"/>
      <w:lvlJc w:val="left"/>
      <w:pPr>
        <w:ind w:left="576" w:hanging="576"/>
      </w:pPr>
      <w:rPr>
        <w:rFonts w:cs="Times New Roman"/>
      </w:rPr>
    </w:lvl>
    <w:lvl w:ilvl="2">
      <w:start w:val="1"/>
      <w:numFmt w:val="decimal"/>
      <w:pStyle w:val="Otsikko3"/>
      <w:lvlText w:val="%1.%2.%3"/>
      <w:lvlJc w:val="left"/>
      <w:pPr>
        <w:ind w:left="720" w:hanging="720"/>
      </w:pPr>
      <w:rPr>
        <w:rFonts w:cs="Times New Roman"/>
      </w:rPr>
    </w:lvl>
    <w:lvl w:ilvl="3">
      <w:start w:val="1"/>
      <w:numFmt w:val="decimal"/>
      <w:pStyle w:val="Otsikko4"/>
      <w:lvlText w:val="%1.%2.%3.%4"/>
      <w:lvlJc w:val="left"/>
      <w:pPr>
        <w:ind w:left="864" w:hanging="864"/>
      </w:pPr>
      <w:rPr>
        <w:rFonts w:cs="Times New Roman"/>
      </w:rPr>
    </w:lvl>
    <w:lvl w:ilvl="4">
      <w:start w:val="1"/>
      <w:numFmt w:val="decimal"/>
      <w:pStyle w:val="Otsikko5"/>
      <w:lvlText w:val="%1.%2.%3.%4.%5"/>
      <w:lvlJc w:val="left"/>
      <w:pPr>
        <w:ind w:left="1008" w:hanging="1008"/>
      </w:pPr>
      <w:rPr>
        <w:rFonts w:cs="Times New Roman"/>
      </w:rPr>
    </w:lvl>
    <w:lvl w:ilvl="5">
      <w:start w:val="1"/>
      <w:numFmt w:val="decimal"/>
      <w:pStyle w:val="Otsikko6"/>
      <w:lvlText w:val="%1.%2.%3.%4.%5.%6"/>
      <w:lvlJc w:val="left"/>
      <w:pPr>
        <w:ind w:left="1152" w:hanging="1152"/>
      </w:pPr>
      <w:rPr>
        <w:rFonts w:cs="Times New Roman"/>
      </w:rPr>
    </w:lvl>
    <w:lvl w:ilvl="6">
      <w:start w:val="1"/>
      <w:numFmt w:val="decimal"/>
      <w:pStyle w:val="Otsikko7"/>
      <w:lvlText w:val="%1.%2.%3.%4.%5.%6.%7"/>
      <w:lvlJc w:val="left"/>
      <w:pPr>
        <w:ind w:left="1296" w:hanging="1296"/>
      </w:pPr>
      <w:rPr>
        <w:rFonts w:cs="Times New Roman"/>
      </w:rPr>
    </w:lvl>
    <w:lvl w:ilvl="7">
      <w:start w:val="1"/>
      <w:numFmt w:val="decimal"/>
      <w:pStyle w:val="Otsikko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3AEE0B97"/>
    <w:multiLevelType w:val="hybridMultilevel"/>
    <w:tmpl w:val="C734C3D8"/>
    <w:lvl w:ilvl="0" w:tplc="93A46762">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nsid w:val="40A42528"/>
    <w:multiLevelType w:val="hybridMultilevel"/>
    <w:tmpl w:val="4C3039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E0"/>
    <w:rsid w:val="000055F9"/>
    <w:rsid w:val="00023CF6"/>
    <w:rsid w:val="000479F9"/>
    <w:rsid w:val="000544F9"/>
    <w:rsid w:val="000572C7"/>
    <w:rsid w:val="000577EF"/>
    <w:rsid w:val="000603EB"/>
    <w:rsid w:val="00065372"/>
    <w:rsid w:val="00065A2E"/>
    <w:rsid w:val="0007482D"/>
    <w:rsid w:val="000807BE"/>
    <w:rsid w:val="00092FC8"/>
    <w:rsid w:val="000C72F7"/>
    <w:rsid w:val="000D5D00"/>
    <w:rsid w:val="000E2DF3"/>
    <w:rsid w:val="000E538E"/>
    <w:rsid w:val="000F34B0"/>
    <w:rsid w:val="0011196C"/>
    <w:rsid w:val="00123AEF"/>
    <w:rsid w:val="00123CF4"/>
    <w:rsid w:val="00130CCC"/>
    <w:rsid w:val="00131341"/>
    <w:rsid w:val="001476FE"/>
    <w:rsid w:val="001611CA"/>
    <w:rsid w:val="0016123C"/>
    <w:rsid w:val="00163045"/>
    <w:rsid w:val="00183EE3"/>
    <w:rsid w:val="00194306"/>
    <w:rsid w:val="00197E44"/>
    <w:rsid w:val="001C1201"/>
    <w:rsid w:val="001C4618"/>
    <w:rsid w:val="001D09E2"/>
    <w:rsid w:val="001D142A"/>
    <w:rsid w:val="001E56E0"/>
    <w:rsid w:val="001E794F"/>
    <w:rsid w:val="001F3612"/>
    <w:rsid w:val="0020355A"/>
    <w:rsid w:val="00256640"/>
    <w:rsid w:val="002765DC"/>
    <w:rsid w:val="0028665E"/>
    <w:rsid w:val="00287FFA"/>
    <w:rsid w:val="002B6A7F"/>
    <w:rsid w:val="002C6AD2"/>
    <w:rsid w:val="002D004C"/>
    <w:rsid w:val="002D18EA"/>
    <w:rsid w:val="002D54B3"/>
    <w:rsid w:val="002E2A43"/>
    <w:rsid w:val="002F744E"/>
    <w:rsid w:val="00307286"/>
    <w:rsid w:val="0032110C"/>
    <w:rsid w:val="00331C5D"/>
    <w:rsid w:val="00340D05"/>
    <w:rsid w:val="00347C2E"/>
    <w:rsid w:val="003507D5"/>
    <w:rsid w:val="00371832"/>
    <w:rsid w:val="0037368A"/>
    <w:rsid w:val="00381777"/>
    <w:rsid w:val="0039090F"/>
    <w:rsid w:val="003A7CD5"/>
    <w:rsid w:val="003B0C97"/>
    <w:rsid w:val="003B2704"/>
    <w:rsid w:val="003B6CBB"/>
    <w:rsid w:val="003C0B0D"/>
    <w:rsid w:val="003C4F38"/>
    <w:rsid w:val="003C7BEC"/>
    <w:rsid w:val="003E20D6"/>
    <w:rsid w:val="00424507"/>
    <w:rsid w:val="004344F9"/>
    <w:rsid w:val="00435727"/>
    <w:rsid w:val="004415F7"/>
    <w:rsid w:val="004429BA"/>
    <w:rsid w:val="00484298"/>
    <w:rsid w:val="00490F28"/>
    <w:rsid w:val="00492E0E"/>
    <w:rsid w:val="0049315A"/>
    <w:rsid w:val="004C210A"/>
    <w:rsid w:val="004C69A2"/>
    <w:rsid w:val="004D0652"/>
    <w:rsid w:val="004D7056"/>
    <w:rsid w:val="004E3801"/>
    <w:rsid w:val="004F2252"/>
    <w:rsid w:val="004F47D9"/>
    <w:rsid w:val="00501A36"/>
    <w:rsid w:val="005057F7"/>
    <w:rsid w:val="00513851"/>
    <w:rsid w:val="0053147F"/>
    <w:rsid w:val="005348C2"/>
    <w:rsid w:val="00553972"/>
    <w:rsid w:val="005555DC"/>
    <w:rsid w:val="00563B63"/>
    <w:rsid w:val="00570628"/>
    <w:rsid w:val="0057417A"/>
    <w:rsid w:val="005837A5"/>
    <w:rsid w:val="005A5CC7"/>
    <w:rsid w:val="005A74BB"/>
    <w:rsid w:val="005B5215"/>
    <w:rsid w:val="005C1DAC"/>
    <w:rsid w:val="005C23C2"/>
    <w:rsid w:val="005E4BFC"/>
    <w:rsid w:val="005F1FC6"/>
    <w:rsid w:val="005F3939"/>
    <w:rsid w:val="00603419"/>
    <w:rsid w:val="00611B6E"/>
    <w:rsid w:val="00615E97"/>
    <w:rsid w:val="00622A49"/>
    <w:rsid w:val="006315BD"/>
    <w:rsid w:val="006471AD"/>
    <w:rsid w:val="00656679"/>
    <w:rsid w:val="006775B6"/>
    <w:rsid w:val="00677818"/>
    <w:rsid w:val="006838EE"/>
    <w:rsid w:val="0068594E"/>
    <w:rsid w:val="00693272"/>
    <w:rsid w:val="006B35AD"/>
    <w:rsid w:val="006B4ABA"/>
    <w:rsid w:val="006C5DEA"/>
    <w:rsid w:val="006E4543"/>
    <w:rsid w:val="006E4CFA"/>
    <w:rsid w:val="006E6D5C"/>
    <w:rsid w:val="006F75B1"/>
    <w:rsid w:val="007121BB"/>
    <w:rsid w:val="0072578B"/>
    <w:rsid w:val="00727373"/>
    <w:rsid w:val="00745C66"/>
    <w:rsid w:val="00766652"/>
    <w:rsid w:val="00774FAC"/>
    <w:rsid w:val="00785533"/>
    <w:rsid w:val="00787FB1"/>
    <w:rsid w:val="007A0470"/>
    <w:rsid w:val="007A238A"/>
    <w:rsid w:val="007A3370"/>
    <w:rsid w:val="007B15E7"/>
    <w:rsid w:val="007B38E6"/>
    <w:rsid w:val="007C1F10"/>
    <w:rsid w:val="007C3F80"/>
    <w:rsid w:val="007C6A6A"/>
    <w:rsid w:val="007D2223"/>
    <w:rsid w:val="007E087A"/>
    <w:rsid w:val="007E7D6F"/>
    <w:rsid w:val="00804543"/>
    <w:rsid w:val="008069C6"/>
    <w:rsid w:val="00821CA2"/>
    <w:rsid w:val="00825F04"/>
    <w:rsid w:val="008322E1"/>
    <w:rsid w:val="00837479"/>
    <w:rsid w:val="00844D2D"/>
    <w:rsid w:val="00876007"/>
    <w:rsid w:val="00877857"/>
    <w:rsid w:val="00882160"/>
    <w:rsid w:val="008847C8"/>
    <w:rsid w:val="008C5E73"/>
    <w:rsid w:val="008F5711"/>
    <w:rsid w:val="008F6575"/>
    <w:rsid w:val="00900ED9"/>
    <w:rsid w:val="0091389F"/>
    <w:rsid w:val="009639CA"/>
    <w:rsid w:val="00973FE8"/>
    <w:rsid w:val="0099226C"/>
    <w:rsid w:val="00993B9E"/>
    <w:rsid w:val="009A100D"/>
    <w:rsid w:val="009B523A"/>
    <w:rsid w:val="009D4E90"/>
    <w:rsid w:val="009D6974"/>
    <w:rsid w:val="009F36AB"/>
    <w:rsid w:val="00A0347B"/>
    <w:rsid w:val="00A27131"/>
    <w:rsid w:val="00A342C4"/>
    <w:rsid w:val="00A36677"/>
    <w:rsid w:val="00A4338C"/>
    <w:rsid w:val="00A5410C"/>
    <w:rsid w:val="00A57535"/>
    <w:rsid w:val="00A631F3"/>
    <w:rsid w:val="00A6665C"/>
    <w:rsid w:val="00A76CE2"/>
    <w:rsid w:val="00A87FD3"/>
    <w:rsid w:val="00AA7B7C"/>
    <w:rsid w:val="00AF103D"/>
    <w:rsid w:val="00AF21FF"/>
    <w:rsid w:val="00B051A0"/>
    <w:rsid w:val="00B06167"/>
    <w:rsid w:val="00B218E9"/>
    <w:rsid w:val="00B30A29"/>
    <w:rsid w:val="00B34D42"/>
    <w:rsid w:val="00B46118"/>
    <w:rsid w:val="00B5686B"/>
    <w:rsid w:val="00B574B3"/>
    <w:rsid w:val="00B64C17"/>
    <w:rsid w:val="00B77520"/>
    <w:rsid w:val="00B8212D"/>
    <w:rsid w:val="00B951F8"/>
    <w:rsid w:val="00B95409"/>
    <w:rsid w:val="00B9595F"/>
    <w:rsid w:val="00B97541"/>
    <w:rsid w:val="00BB22EE"/>
    <w:rsid w:val="00BB23C0"/>
    <w:rsid w:val="00BB3E22"/>
    <w:rsid w:val="00BC29BE"/>
    <w:rsid w:val="00BD4778"/>
    <w:rsid w:val="00BF20EC"/>
    <w:rsid w:val="00BF5B24"/>
    <w:rsid w:val="00BF5BEA"/>
    <w:rsid w:val="00C12397"/>
    <w:rsid w:val="00C2086E"/>
    <w:rsid w:val="00C45BB2"/>
    <w:rsid w:val="00C50C3F"/>
    <w:rsid w:val="00C5221E"/>
    <w:rsid w:val="00C67AA9"/>
    <w:rsid w:val="00C74D95"/>
    <w:rsid w:val="00C95285"/>
    <w:rsid w:val="00C97F61"/>
    <w:rsid w:val="00CA2C5B"/>
    <w:rsid w:val="00CC58A5"/>
    <w:rsid w:val="00CD3EF3"/>
    <w:rsid w:val="00D079CC"/>
    <w:rsid w:val="00D1121F"/>
    <w:rsid w:val="00D12415"/>
    <w:rsid w:val="00D1718C"/>
    <w:rsid w:val="00D2187E"/>
    <w:rsid w:val="00D278D4"/>
    <w:rsid w:val="00D30BF1"/>
    <w:rsid w:val="00D413AF"/>
    <w:rsid w:val="00D8032D"/>
    <w:rsid w:val="00D8035C"/>
    <w:rsid w:val="00D86401"/>
    <w:rsid w:val="00D95CBC"/>
    <w:rsid w:val="00DC6836"/>
    <w:rsid w:val="00DD1176"/>
    <w:rsid w:val="00DE2E14"/>
    <w:rsid w:val="00DE2F96"/>
    <w:rsid w:val="00DF3128"/>
    <w:rsid w:val="00E0284A"/>
    <w:rsid w:val="00E1272E"/>
    <w:rsid w:val="00E246ED"/>
    <w:rsid w:val="00E36CD6"/>
    <w:rsid w:val="00E36F82"/>
    <w:rsid w:val="00E535DE"/>
    <w:rsid w:val="00E7119F"/>
    <w:rsid w:val="00E73831"/>
    <w:rsid w:val="00E748A6"/>
    <w:rsid w:val="00E917B1"/>
    <w:rsid w:val="00E94D2E"/>
    <w:rsid w:val="00EB4802"/>
    <w:rsid w:val="00EC4F4E"/>
    <w:rsid w:val="00ED179E"/>
    <w:rsid w:val="00EE0AD8"/>
    <w:rsid w:val="00F167BE"/>
    <w:rsid w:val="00F26643"/>
    <w:rsid w:val="00F53653"/>
    <w:rsid w:val="00F76A6A"/>
    <w:rsid w:val="00F93AD1"/>
    <w:rsid w:val="00FB4C3C"/>
    <w:rsid w:val="00FD1896"/>
    <w:rsid w:val="00FE5BB3"/>
    <w:rsid w:val="00FE5FFE"/>
    <w:rsid w:val="00FF243B"/>
    <w:rsid w:val="00FF38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5E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80">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unhideWhenUsed="1" w:qFormat="1"/>
    <w:lsdException w:name="heading 8" w:locked="1" w:uiPriority="9"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76FE"/>
    <w:pPr>
      <w:spacing w:after="200" w:line="276" w:lineRule="auto"/>
    </w:pPr>
    <w:rPr>
      <w:lang w:eastAsia="en-US"/>
    </w:rPr>
  </w:style>
  <w:style w:type="paragraph" w:styleId="Otsikko1">
    <w:name w:val="heading 1"/>
    <w:basedOn w:val="Normaali"/>
    <w:next w:val="Normaali"/>
    <w:link w:val="Otsikko1Merkki"/>
    <w:uiPriority w:val="9"/>
    <w:qFormat/>
    <w:rsid w:val="001476FE"/>
    <w:pPr>
      <w:keepNext/>
      <w:keepLines/>
      <w:numPr>
        <w:numId w:val="9"/>
      </w:numPr>
      <w:spacing w:before="240" w:after="240"/>
      <w:outlineLvl w:val="0"/>
    </w:pPr>
    <w:rPr>
      <w:rFonts w:ascii="Cambria" w:eastAsia="Times New Roman" w:hAnsi="Cambria" w:cs="Cambria"/>
      <w:bCs/>
      <w:caps/>
      <w:sz w:val="28"/>
      <w:szCs w:val="28"/>
    </w:rPr>
  </w:style>
  <w:style w:type="paragraph" w:styleId="Otsikko2">
    <w:name w:val="heading 2"/>
    <w:basedOn w:val="Normaali"/>
    <w:next w:val="Normaali"/>
    <w:link w:val="Otsikko2Merkki"/>
    <w:uiPriority w:val="9"/>
    <w:qFormat/>
    <w:rsid w:val="001476FE"/>
    <w:pPr>
      <w:keepNext/>
      <w:keepLines/>
      <w:numPr>
        <w:ilvl w:val="1"/>
        <w:numId w:val="9"/>
      </w:numPr>
      <w:spacing w:before="200" w:after="240"/>
      <w:outlineLvl w:val="1"/>
    </w:pPr>
    <w:rPr>
      <w:rFonts w:ascii="Cambria" w:eastAsia="Times New Roman" w:hAnsi="Cambria"/>
      <w:bCs/>
      <w:sz w:val="26"/>
      <w:szCs w:val="26"/>
    </w:rPr>
  </w:style>
  <w:style w:type="paragraph" w:styleId="Otsikko3">
    <w:name w:val="heading 3"/>
    <w:basedOn w:val="Normaali"/>
    <w:next w:val="Normaali"/>
    <w:link w:val="Otsikko3Merkki"/>
    <w:uiPriority w:val="9"/>
    <w:qFormat/>
    <w:rsid w:val="001476FE"/>
    <w:pPr>
      <w:keepNext/>
      <w:keepLines/>
      <w:numPr>
        <w:ilvl w:val="2"/>
        <w:numId w:val="9"/>
      </w:numPr>
      <w:spacing w:before="200" w:after="0"/>
      <w:outlineLvl w:val="2"/>
    </w:pPr>
    <w:rPr>
      <w:rFonts w:ascii="Cambria" w:eastAsia="Times New Roman" w:hAnsi="Cambria"/>
      <w:b/>
      <w:bCs/>
      <w:color w:val="4F81BD"/>
    </w:rPr>
  </w:style>
  <w:style w:type="paragraph" w:styleId="Otsikko4">
    <w:name w:val="heading 4"/>
    <w:basedOn w:val="Normaali"/>
    <w:next w:val="Normaali"/>
    <w:link w:val="Otsikko4Merkki"/>
    <w:uiPriority w:val="9"/>
    <w:qFormat/>
    <w:rsid w:val="001476FE"/>
    <w:pPr>
      <w:keepNext/>
      <w:keepLines/>
      <w:numPr>
        <w:ilvl w:val="3"/>
        <w:numId w:val="9"/>
      </w:numPr>
      <w:spacing w:before="200" w:after="0"/>
      <w:outlineLvl w:val="3"/>
    </w:pPr>
    <w:rPr>
      <w:rFonts w:ascii="Cambria" w:eastAsia="Times New Roman" w:hAnsi="Cambria"/>
      <w:b/>
      <w:bCs/>
      <w:i/>
      <w:iCs/>
      <w:color w:val="4F81BD"/>
    </w:rPr>
  </w:style>
  <w:style w:type="paragraph" w:styleId="Otsikko5">
    <w:name w:val="heading 5"/>
    <w:basedOn w:val="Normaali"/>
    <w:next w:val="Normaali"/>
    <w:link w:val="Otsikko5Merkki"/>
    <w:uiPriority w:val="9"/>
    <w:qFormat/>
    <w:rsid w:val="001476FE"/>
    <w:pPr>
      <w:keepNext/>
      <w:keepLines/>
      <w:numPr>
        <w:ilvl w:val="4"/>
        <w:numId w:val="9"/>
      </w:numPr>
      <w:spacing w:before="200" w:after="0"/>
      <w:outlineLvl w:val="4"/>
    </w:pPr>
    <w:rPr>
      <w:rFonts w:ascii="Cambria" w:eastAsia="Times New Roman" w:hAnsi="Cambria"/>
      <w:color w:val="243F60"/>
    </w:rPr>
  </w:style>
  <w:style w:type="paragraph" w:styleId="Otsikko6">
    <w:name w:val="heading 6"/>
    <w:basedOn w:val="Normaali"/>
    <w:next w:val="Normaali"/>
    <w:link w:val="Otsikko6Merkki"/>
    <w:uiPriority w:val="9"/>
    <w:qFormat/>
    <w:rsid w:val="001476FE"/>
    <w:pPr>
      <w:keepNext/>
      <w:keepLines/>
      <w:numPr>
        <w:ilvl w:val="5"/>
        <w:numId w:val="9"/>
      </w:numPr>
      <w:spacing w:before="200" w:after="0"/>
      <w:outlineLvl w:val="5"/>
    </w:pPr>
    <w:rPr>
      <w:rFonts w:ascii="Cambria" w:eastAsia="Times New Roman" w:hAnsi="Cambria"/>
      <w:i/>
      <w:iCs/>
      <w:color w:val="243F60"/>
    </w:rPr>
  </w:style>
  <w:style w:type="paragraph" w:styleId="Otsikko7">
    <w:name w:val="heading 7"/>
    <w:basedOn w:val="Normaali"/>
    <w:next w:val="Normaali"/>
    <w:link w:val="Otsikko7Merkki"/>
    <w:uiPriority w:val="9"/>
    <w:qFormat/>
    <w:rsid w:val="001476FE"/>
    <w:pPr>
      <w:keepNext/>
      <w:keepLines/>
      <w:numPr>
        <w:ilvl w:val="6"/>
        <w:numId w:val="9"/>
      </w:numPr>
      <w:spacing w:before="200" w:after="0"/>
      <w:outlineLvl w:val="6"/>
    </w:pPr>
    <w:rPr>
      <w:rFonts w:ascii="Cambria" w:eastAsia="Times New Roman" w:hAnsi="Cambria"/>
      <w:i/>
      <w:iCs/>
      <w:color w:val="404040"/>
    </w:rPr>
  </w:style>
  <w:style w:type="paragraph" w:styleId="Otsikko8">
    <w:name w:val="heading 8"/>
    <w:basedOn w:val="Normaali"/>
    <w:next w:val="Normaali"/>
    <w:link w:val="Otsikko8Merkki"/>
    <w:uiPriority w:val="9"/>
    <w:qFormat/>
    <w:rsid w:val="001476FE"/>
    <w:pPr>
      <w:keepNext/>
      <w:keepLines/>
      <w:numPr>
        <w:ilvl w:val="7"/>
        <w:numId w:val="9"/>
      </w:numPr>
      <w:spacing w:before="200" w:after="0"/>
      <w:outlineLvl w:val="7"/>
    </w:pPr>
    <w:rPr>
      <w:rFonts w:ascii="Cambria" w:eastAsia="Times New Roman" w:hAnsi="Cambria"/>
      <w:color w:val="404040"/>
      <w:sz w:val="20"/>
      <w:szCs w:val="20"/>
    </w:rPr>
  </w:style>
  <w:style w:type="paragraph" w:styleId="Otsikko9">
    <w:name w:val="heading 9"/>
    <w:basedOn w:val="Normaali"/>
    <w:next w:val="Normaali"/>
    <w:link w:val="Otsikko9Merkki"/>
    <w:uiPriority w:val="99"/>
    <w:qFormat/>
    <w:rsid w:val="001476FE"/>
    <w:pPr>
      <w:keepNext/>
      <w:keepLines/>
      <w:spacing w:before="200" w:after="0"/>
      <w:ind w:left="1584" w:hanging="1584"/>
      <w:outlineLvl w:val="8"/>
    </w:pPr>
    <w:rPr>
      <w:rFonts w:ascii="Cambria" w:eastAsia="Times New Roman" w:hAnsi="Cambria"/>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Merkki">
    <w:name w:val="Otsikko 1 Merkki"/>
    <w:basedOn w:val="Kappaleenoletusfontti"/>
    <w:link w:val="Otsikko1"/>
    <w:uiPriority w:val="99"/>
    <w:locked/>
    <w:rsid w:val="001476FE"/>
    <w:rPr>
      <w:rFonts w:ascii="Cambria" w:hAnsi="Cambria" w:cs="Cambria"/>
      <w:bCs/>
      <w:caps/>
      <w:sz w:val="28"/>
      <w:szCs w:val="28"/>
    </w:rPr>
  </w:style>
  <w:style w:type="character" w:customStyle="1" w:styleId="Otsikko2Merkki">
    <w:name w:val="Otsikko 2 Merkki"/>
    <w:basedOn w:val="Kappaleenoletusfontti"/>
    <w:link w:val="Otsikko2"/>
    <w:uiPriority w:val="99"/>
    <w:locked/>
    <w:rsid w:val="001476FE"/>
    <w:rPr>
      <w:rFonts w:ascii="Cambria" w:hAnsi="Cambria" w:cs="Times New Roman"/>
      <w:bCs/>
      <w:sz w:val="26"/>
      <w:szCs w:val="26"/>
    </w:rPr>
  </w:style>
  <w:style w:type="character" w:customStyle="1" w:styleId="Otsikko3Merkki">
    <w:name w:val="Otsikko 3 Merkki"/>
    <w:basedOn w:val="Kappaleenoletusfontti"/>
    <w:link w:val="Otsikko3"/>
    <w:uiPriority w:val="99"/>
    <w:semiHidden/>
    <w:locked/>
    <w:rsid w:val="001476FE"/>
    <w:rPr>
      <w:rFonts w:ascii="Cambria" w:hAnsi="Cambria" w:cs="Times New Roman"/>
      <w:b/>
      <w:bCs/>
      <w:color w:val="4F81BD"/>
    </w:rPr>
  </w:style>
  <w:style w:type="character" w:customStyle="1" w:styleId="Otsikko4Merkki">
    <w:name w:val="Otsikko 4 Merkki"/>
    <w:basedOn w:val="Kappaleenoletusfontti"/>
    <w:link w:val="Otsikko4"/>
    <w:uiPriority w:val="99"/>
    <w:semiHidden/>
    <w:locked/>
    <w:rsid w:val="001476FE"/>
    <w:rPr>
      <w:rFonts w:ascii="Cambria" w:hAnsi="Cambria" w:cs="Times New Roman"/>
      <w:b/>
      <w:bCs/>
      <w:i/>
      <w:iCs/>
      <w:color w:val="4F81BD"/>
    </w:rPr>
  </w:style>
  <w:style w:type="character" w:customStyle="1" w:styleId="Otsikko5Merkki">
    <w:name w:val="Otsikko 5 Merkki"/>
    <w:basedOn w:val="Kappaleenoletusfontti"/>
    <w:link w:val="Otsikko5"/>
    <w:uiPriority w:val="99"/>
    <w:semiHidden/>
    <w:locked/>
    <w:rsid w:val="001476FE"/>
    <w:rPr>
      <w:rFonts w:ascii="Cambria" w:hAnsi="Cambria" w:cs="Times New Roman"/>
      <w:color w:val="243F60"/>
    </w:rPr>
  </w:style>
  <w:style w:type="character" w:customStyle="1" w:styleId="Otsikko6Merkki">
    <w:name w:val="Otsikko 6 Merkki"/>
    <w:basedOn w:val="Kappaleenoletusfontti"/>
    <w:link w:val="Otsikko6"/>
    <w:uiPriority w:val="99"/>
    <w:semiHidden/>
    <w:locked/>
    <w:rsid w:val="001476FE"/>
    <w:rPr>
      <w:rFonts w:ascii="Cambria" w:hAnsi="Cambria" w:cs="Times New Roman"/>
      <w:i/>
      <w:iCs/>
      <w:color w:val="243F60"/>
    </w:rPr>
  </w:style>
  <w:style w:type="character" w:customStyle="1" w:styleId="Otsikko7Merkki">
    <w:name w:val="Otsikko 7 Merkki"/>
    <w:basedOn w:val="Kappaleenoletusfontti"/>
    <w:link w:val="Otsikko7"/>
    <w:uiPriority w:val="99"/>
    <w:semiHidden/>
    <w:locked/>
    <w:rsid w:val="001476FE"/>
    <w:rPr>
      <w:rFonts w:ascii="Cambria" w:hAnsi="Cambria" w:cs="Times New Roman"/>
      <w:i/>
      <w:iCs/>
      <w:color w:val="404040"/>
    </w:rPr>
  </w:style>
  <w:style w:type="character" w:customStyle="1" w:styleId="Otsikko8Merkki">
    <w:name w:val="Otsikko 8 Merkki"/>
    <w:basedOn w:val="Kappaleenoletusfontti"/>
    <w:link w:val="Otsikko8"/>
    <w:uiPriority w:val="99"/>
    <w:semiHidden/>
    <w:locked/>
    <w:rsid w:val="001476FE"/>
    <w:rPr>
      <w:rFonts w:ascii="Cambria" w:hAnsi="Cambria" w:cs="Times New Roman"/>
      <w:color w:val="404040"/>
      <w:sz w:val="20"/>
      <w:szCs w:val="20"/>
    </w:rPr>
  </w:style>
  <w:style w:type="character" w:customStyle="1" w:styleId="Otsikko9Merkki">
    <w:name w:val="Otsikko 9 Merkki"/>
    <w:basedOn w:val="Kappaleenoletusfontti"/>
    <w:link w:val="Otsikko9"/>
    <w:uiPriority w:val="99"/>
    <w:semiHidden/>
    <w:locked/>
    <w:rsid w:val="001476FE"/>
    <w:rPr>
      <w:rFonts w:ascii="Cambria" w:hAnsi="Cambria" w:cs="Times New Roman"/>
      <w:i/>
      <w:iCs/>
      <w:color w:val="404040"/>
      <w:sz w:val="20"/>
      <w:szCs w:val="20"/>
    </w:rPr>
  </w:style>
  <w:style w:type="paragraph" w:styleId="Alaotsikko">
    <w:name w:val="Subtitle"/>
    <w:basedOn w:val="Normaali"/>
    <w:next w:val="Normaali"/>
    <w:link w:val="AlaotsikkoMerkki"/>
    <w:uiPriority w:val="99"/>
    <w:qFormat/>
    <w:rsid w:val="001476FE"/>
    <w:pPr>
      <w:ind w:left="357" w:hanging="357"/>
    </w:pPr>
    <w:rPr>
      <w:rFonts w:ascii="Cambria" w:eastAsia="Times New Roman" w:hAnsi="Cambria"/>
      <w:iCs/>
      <w:spacing w:val="15"/>
      <w:sz w:val="24"/>
      <w:szCs w:val="24"/>
    </w:rPr>
  </w:style>
  <w:style w:type="character" w:customStyle="1" w:styleId="AlaotsikkoMerkki">
    <w:name w:val="Alaotsikko Merkki"/>
    <w:basedOn w:val="Kappaleenoletusfontti"/>
    <w:link w:val="Alaotsikko"/>
    <w:uiPriority w:val="99"/>
    <w:locked/>
    <w:rsid w:val="001476FE"/>
    <w:rPr>
      <w:rFonts w:ascii="Cambria" w:hAnsi="Cambria" w:cs="Times New Roman"/>
      <w:iCs/>
      <w:spacing w:val="15"/>
      <w:sz w:val="24"/>
      <w:szCs w:val="24"/>
    </w:rPr>
  </w:style>
  <w:style w:type="paragraph" w:styleId="Luettelokappale">
    <w:name w:val="List Paragraph"/>
    <w:basedOn w:val="Normaali"/>
    <w:uiPriority w:val="99"/>
    <w:qFormat/>
    <w:rsid w:val="001476FE"/>
    <w:pPr>
      <w:ind w:left="720"/>
      <w:contextualSpacing/>
    </w:pPr>
  </w:style>
  <w:style w:type="character" w:styleId="Erottuvaviittaus">
    <w:name w:val="Intense Reference"/>
    <w:basedOn w:val="Kappaleenoletusfontti"/>
    <w:uiPriority w:val="99"/>
    <w:qFormat/>
    <w:rsid w:val="001476FE"/>
    <w:rPr>
      <w:rFonts w:cs="Times New Roman"/>
      <w:b/>
      <w:bCs/>
      <w:smallCaps/>
      <w:color w:val="C0504D"/>
      <w:spacing w:val="5"/>
      <w:u w:val="single"/>
    </w:rPr>
  </w:style>
  <w:style w:type="paragraph" w:styleId="Seliteteksti">
    <w:name w:val="Balloon Text"/>
    <w:basedOn w:val="Normaali"/>
    <w:link w:val="SelitetekstiMerkki"/>
    <w:uiPriority w:val="99"/>
    <w:semiHidden/>
    <w:rsid w:val="001E56E0"/>
    <w:pPr>
      <w:spacing w:after="0" w:line="240" w:lineRule="auto"/>
    </w:pPr>
    <w:rPr>
      <w:rFonts w:ascii="Tahoma" w:hAnsi="Tahoma" w:cs="Tahoma"/>
      <w:sz w:val="16"/>
      <w:szCs w:val="16"/>
    </w:rPr>
  </w:style>
  <w:style w:type="character" w:customStyle="1" w:styleId="SelitetekstiMerkki">
    <w:name w:val="Seliteteksti Merkki"/>
    <w:basedOn w:val="Kappaleenoletusfontti"/>
    <w:link w:val="Seliteteksti"/>
    <w:uiPriority w:val="99"/>
    <w:semiHidden/>
    <w:locked/>
    <w:rsid w:val="001E56E0"/>
    <w:rPr>
      <w:rFonts w:ascii="Tahoma" w:hAnsi="Tahoma" w:cs="Tahoma"/>
      <w:sz w:val="16"/>
      <w:szCs w:val="16"/>
    </w:rPr>
  </w:style>
  <w:style w:type="paragraph" w:styleId="Yltunniste">
    <w:name w:val="header"/>
    <w:basedOn w:val="Normaali"/>
    <w:link w:val="YltunnisteMerkki"/>
    <w:uiPriority w:val="99"/>
    <w:rsid w:val="001C1201"/>
    <w:pPr>
      <w:tabs>
        <w:tab w:val="center" w:pos="4819"/>
        <w:tab w:val="right" w:pos="9638"/>
      </w:tabs>
      <w:spacing w:after="0" w:line="240" w:lineRule="auto"/>
    </w:pPr>
  </w:style>
  <w:style w:type="character" w:customStyle="1" w:styleId="YltunnisteMerkki">
    <w:name w:val="Ylätunniste Merkki"/>
    <w:basedOn w:val="Kappaleenoletusfontti"/>
    <w:link w:val="Yltunniste"/>
    <w:uiPriority w:val="99"/>
    <w:locked/>
    <w:rsid w:val="001C1201"/>
    <w:rPr>
      <w:rFonts w:cs="Times New Roman"/>
    </w:rPr>
  </w:style>
  <w:style w:type="paragraph" w:styleId="Alatunniste">
    <w:name w:val="footer"/>
    <w:basedOn w:val="Normaali"/>
    <w:link w:val="AlatunnisteMerkki"/>
    <w:uiPriority w:val="99"/>
    <w:rsid w:val="001C1201"/>
    <w:pPr>
      <w:tabs>
        <w:tab w:val="center" w:pos="4819"/>
        <w:tab w:val="right" w:pos="9638"/>
      </w:tabs>
      <w:spacing w:after="0" w:line="240" w:lineRule="auto"/>
    </w:pPr>
  </w:style>
  <w:style w:type="character" w:customStyle="1" w:styleId="AlatunnisteMerkki">
    <w:name w:val="Alatunniste Merkki"/>
    <w:basedOn w:val="Kappaleenoletusfontti"/>
    <w:link w:val="Alatunniste"/>
    <w:uiPriority w:val="99"/>
    <w:locked/>
    <w:rsid w:val="001C1201"/>
    <w:rPr>
      <w:rFonts w:cs="Times New Roman"/>
    </w:rPr>
  </w:style>
  <w:style w:type="paragraph" w:styleId="NormaaliWWW">
    <w:name w:val="Normal (Web)"/>
    <w:basedOn w:val="Normaali"/>
    <w:uiPriority w:val="99"/>
    <w:semiHidden/>
    <w:rsid w:val="001C1201"/>
    <w:pPr>
      <w:spacing w:before="100" w:beforeAutospacing="1" w:after="100" w:afterAutospacing="1" w:line="240" w:lineRule="auto"/>
    </w:pPr>
    <w:rPr>
      <w:rFonts w:ascii="Times New Roman" w:eastAsia="Times New Roman" w:hAnsi="Times New Roman"/>
      <w:sz w:val="24"/>
      <w:szCs w:val="24"/>
      <w:lang w:eastAsia="fi-FI"/>
    </w:rPr>
  </w:style>
  <w:style w:type="paragraph" w:styleId="Sisllysluettelonotsikko">
    <w:name w:val="TOC Heading"/>
    <w:basedOn w:val="Otsikko1"/>
    <w:next w:val="Normaali"/>
    <w:uiPriority w:val="99"/>
    <w:qFormat/>
    <w:rsid w:val="0032110C"/>
    <w:pPr>
      <w:numPr>
        <w:numId w:val="0"/>
      </w:numPr>
      <w:spacing w:before="480" w:after="0"/>
      <w:outlineLvl w:val="9"/>
    </w:pPr>
    <w:rPr>
      <w:rFonts w:cs="Times New Roman"/>
      <w:b/>
      <w:caps w:val="0"/>
      <w:color w:val="365F91"/>
      <w:lang w:eastAsia="fi-FI"/>
    </w:rPr>
  </w:style>
  <w:style w:type="paragraph" w:styleId="Sisluet1">
    <w:name w:val="toc 1"/>
    <w:basedOn w:val="Normaali"/>
    <w:next w:val="Normaali"/>
    <w:autoRedefine/>
    <w:uiPriority w:val="39"/>
    <w:rsid w:val="0032110C"/>
    <w:pPr>
      <w:spacing w:after="100"/>
    </w:pPr>
  </w:style>
  <w:style w:type="character" w:styleId="Hyperlinkki">
    <w:name w:val="Hyperlink"/>
    <w:basedOn w:val="Kappaleenoletusfontti"/>
    <w:uiPriority w:val="99"/>
    <w:rsid w:val="0032110C"/>
    <w:rPr>
      <w:rFonts w:cs="Times New Roman"/>
      <w:color w:val="0000FF"/>
      <w:u w:val="single"/>
    </w:rPr>
  </w:style>
  <w:style w:type="paragraph" w:styleId="Sisluet2">
    <w:name w:val="toc 2"/>
    <w:basedOn w:val="Normaali"/>
    <w:next w:val="Normaali"/>
    <w:autoRedefine/>
    <w:uiPriority w:val="39"/>
    <w:rsid w:val="00C50C3F"/>
    <w:pPr>
      <w:spacing w:after="100"/>
      <w:ind w:left="220"/>
    </w:pPr>
  </w:style>
  <w:style w:type="character" w:styleId="Paikkamerkkiteksti">
    <w:name w:val="Placeholder Text"/>
    <w:basedOn w:val="Kappaleenoletusfontti"/>
    <w:uiPriority w:val="99"/>
    <w:semiHidden/>
    <w:rsid w:val="0068594E"/>
    <w:rPr>
      <w:color w:val="808080"/>
    </w:rPr>
  </w:style>
  <w:style w:type="table" w:styleId="Taulukkoruudukko">
    <w:name w:val="Table Grid"/>
    <w:basedOn w:val="Normaalitaulukko"/>
    <w:locked/>
    <w:rsid w:val="006F7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395">
      <w:marLeft w:val="0"/>
      <w:marRight w:val="0"/>
      <w:marTop w:val="0"/>
      <w:marBottom w:val="0"/>
      <w:divBdr>
        <w:top w:val="none" w:sz="0" w:space="0" w:color="auto"/>
        <w:left w:val="none" w:sz="0" w:space="0" w:color="auto"/>
        <w:bottom w:val="none" w:sz="0" w:space="0" w:color="auto"/>
        <w:right w:val="none" w:sz="0" w:space="0" w:color="auto"/>
      </w:divBdr>
    </w:div>
    <w:div w:id="33434396">
      <w:marLeft w:val="0"/>
      <w:marRight w:val="0"/>
      <w:marTop w:val="0"/>
      <w:marBottom w:val="0"/>
      <w:divBdr>
        <w:top w:val="none" w:sz="0" w:space="0" w:color="auto"/>
        <w:left w:val="none" w:sz="0" w:space="0" w:color="auto"/>
        <w:bottom w:val="none" w:sz="0" w:space="0" w:color="auto"/>
        <w:right w:val="none" w:sz="0" w:space="0" w:color="auto"/>
      </w:divBdr>
    </w:div>
    <w:div w:id="33434397">
      <w:marLeft w:val="0"/>
      <w:marRight w:val="0"/>
      <w:marTop w:val="0"/>
      <w:marBottom w:val="0"/>
      <w:divBdr>
        <w:top w:val="none" w:sz="0" w:space="0" w:color="auto"/>
        <w:left w:val="none" w:sz="0" w:space="0" w:color="auto"/>
        <w:bottom w:val="none" w:sz="0" w:space="0" w:color="auto"/>
        <w:right w:val="none" w:sz="0" w:space="0" w:color="auto"/>
      </w:divBdr>
    </w:div>
    <w:div w:id="33434398">
      <w:marLeft w:val="0"/>
      <w:marRight w:val="0"/>
      <w:marTop w:val="0"/>
      <w:marBottom w:val="0"/>
      <w:divBdr>
        <w:top w:val="none" w:sz="0" w:space="0" w:color="auto"/>
        <w:left w:val="none" w:sz="0" w:space="0" w:color="auto"/>
        <w:bottom w:val="none" w:sz="0" w:space="0" w:color="auto"/>
        <w:right w:val="none" w:sz="0" w:space="0" w:color="auto"/>
      </w:divBdr>
    </w:div>
    <w:div w:id="33434399">
      <w:marLeft w:val="0"/>
      <w:marRight w:val="0"/>
      <w:marTop w:val="0"/>
      <w:marBottom w:val="0"/>
      <w:divBdr>
        <w:top w:val="none" w:sz="0" w:space="0" w:color="auto"/>
        <w:left w:val="none" w:sz="0" w:space="0" w:color="auto"/>
        <w:bottom w:val="none" w:sz="0" w:space="0" w:color="auto"/>
        <w:right w:val="none" w:sz="0" w:space="0" w:color="auto"/>
      </w:divBdr>
    </w:div>
    <w:div w:id="33434400">
      <w:marLeft w:val="0"/>
      <w:marRight w:val="0"/>
      <w:marTop w:val="0"/>
      <w:marBottom w:val="0"/>
      <w:divBdr>
        <w:top w:val="none" w:sz="0" w:space="0" w:color="auto"/>
        <w:left w:val="none" w:sz="0" w:space="0" w:color="auto"/>
        <w:bottom w:val="none" w:sz="0" w:space="0" w:color="auto"/>
        <w:right w:val="none" w:sz="0" w:space="0" w:color="auto"/>
      </w:divBdr>
    </w:div>
    <w:div w:id="33434401">
      <w:marLeft w:val="0"/>
      <w:marRight w:val="0"/>
      <w:marTop w:val="0"/>
      <w:marBottom w:val="0"/>
      <w:divBdr>
        <w:top w:val="none" w:sz="0" w:space="0" w:color="auto"/>
        <w:left w:val="none" w:sz="0" w:space="0" w:color="auto"/>
        <w:bottom w:val="none" w:sz="0" w:space="0" w:color="auto"/>
        <w:right w:val="none" w:sz="0" w:space="0" w:color="auto"/>
      </w:divBdr>
    </w:div>
    <w:div w:id="33434402">
      <w:marLeft w:val="0"/>
      <w:marRight w:val="0"/>
      <w:marTop w:val="0"/>
      <w:marBottom w:val="0"/>
      <w:divBdr>
        <w:top w:val="none" w:sz="0" w:space="0" w:color="auto"/>
        <w:left w:val="none" w:sz="0" w:space="0" w:color="auto"/>
        <w:bottom w:val="none" w:sz="0" w:space="0" w:color="auto"/>
        <w:right w:val="none" w:sz="0" w:space="0" w:color="auto"/>
      </w:divBdr>
    </w:div>
    <w:div w:id="33434403">
      <w:marLeft w:val="0"/>
      <w:marRight w:val="0"/>
      <w:marTop w:val="0"/>
      <w:marBottom w:val="0"/>
      <w:divBdr>
        <w:top w:val="none" w:sz="0" w:space="0" w:color="auto"/>
        <w:left w:val="none" w:sz="0" w:space="0" w:color="auto"/>
        <w:bottom w:val="none" w:sz="0" w:space="0" w:color="auto"/>
        <w:right w:val="none" w:sz="0" w:space="0" w:color="auto"/>
      </w:divBdr>
    </w:div>
    <w:div w:id="33434404">
      <w:marLeft w:val="0"/>
      <w:marRight w:val="0"/>
      <w:marTop w:val="0"/>
      <w:marBottom w:val="0"/>
      <w:divBdr>
        <w:top w:val="none" w:sz="0" w:space="0" w:color="auto"/>
        <w:left w:val="none" w:sz="0" w:space="0" w:color="auto"/>
        <w:bottom w:val="none" w:sz="0" w:space="0" w:color="auto"/>
        <w:right w:val="none" w:sz="0" w:space="0" w:color="auto"/>
      </w:divBdr>
    </w:div>
    <w:div w:id="33434405">
      <w:marLeft w:val="0"/>
      <w:marRight w:val="0"/>
      <w:marTop w:val="0"/>
      <w:marBottom w:val="0"/>
      <w:divBdr>
        <w:top w:val="none" w:sz="0" w:space="0" w:color="auto"/>
        <w:left w:val="none" w:sz="0" w:space="0" w:color="auto"/>
        <w:bottom w:val="none" w:sz="0" w:space="0" w:color="auto"/>
        <w:right w:val="none" w:sz="0" w:space="0" w:color="auto"/>
      </w:divBdr>
    </w:div>
    <w:div w:id="33434406">
      <w:marLeft w:val="0"/>
      <w:marRight w:val="0"/>
      <w:marTop w:val="0"/>
      <w:marBottom w:val="0"/>
      <w:divBdr>
        <w:top w:val="none" w:sz="0" w:space="0" w:color="auto"/>
        <w:left w:val="none" w:sz="0" w:space="0" w:color="auto"/>
        <w:bottom w:val="none" w:sz="0" w:space="0" w:color="auto"/>
        <w:right w:val="none" w:sz="0" w:space="0" w:color="auto"/>
      </w:divBdr>
    </w:div>
    <w:div w:id="33434407">
      <w:marLeft w:val="0"/>
      <w:marRight w:val="0"/>
      <w:marTop w:val="0"/>
      <w:marBottom w:val="0"/>
      <w:divBdr>
        <w:top w:val="none" w:sz="0" w:space="0" w:color="auto"/>
        <w:left w:val="none" w:sz="0" w:space="0" w:color="auto"/>
        <w:bottom w:val="none" w:sz="0" w:space="0" w:color="auto"/>
        <w:right w:val="none" w:sz="0" w:space="0" w:color="auto"/>
      </w:divBdr>
    </w:div>
    <w:div w:id="33434408">
      <w:marLeft w:val="0"/>
      <w:marRight w:val="0"/>
      <w:marTop w:val="0"/>
      <w:marBottom w:val="0"/>
      <w:divBdr>
        <w:top w:val="none" w:sz="0" w:space="0" w:color="auto"/>
        <w:left w:val="none" w:sz="0" w:space="0" w:color="auto"/>
        <w:bottom w:val="none" w:sz="0" w:space="0" w:color="auto"/>
        <w:right w:val="none" w:sz="0" w:space="0" w:color="auto"/>
      </w:divBdr>
    </w:div>
    <w:div w:id="33434409">
      <w:marLeft w:val="0"/>
      <w:marRight w:val="0"/>
      <w:marTop w:val="0"/>
      <w:marBottom w:val="0"/>
      <w:divBdr>
        <w:top w:val="none" w:sz="0" w:space="0" w:color="auto"/>
        <w:left w:val="none" w:sz="0" w:space="0" w:color="auto"/>
        <w:bottom w:val="none" w:sz="0" w:space="0" w:color="auto"/>
        <w:right w:val="none" w:sz="0" w:space="0" w:color="auto"/>
      </w:divBdr>
    </w:div>
    <w:div w:id="33434410">
      <w:marLeft w:val="0"/>
      <w:marRight w:val="0"/>
      <w:marTop w:val="0"/>
      <w:marBottom w:val="0"/>
      <w:divBdr>
        <w:top w:val="none" w:sz="0" w:space="0" w:color="auto"/>
        <w:left w:val="none" w:sz="0" w:space="0" w:color="auto"/>
        <w:bottom w:val="none" w:sz="0" w:space="0" w:color="auto"/>
        <w:right w:val="none" w:sz="0" w:space="0" w:color="auto"/>
      </w:divBdr>
    </w:div>
    <w:div w:id="33434411">
      <w:marLeft w:val="0"/>
      <w:marRight w:val="0"/>
      <w:marTop w:val="0"/>
      <w:marBottom w:val="0"/>
      <w:divBdr>
        <w:top w:val="none" w:sz="0" w:space="0" w:color="auto"/>
        <w:left w:val="none" w:sz="0" w:space="0" w:color="auto"/>
        <w:bottom w:val="none" w:sz="0" w:space="0" w:color="auto"/>
        <w:right w:val="none" w:sz="0" w:space="0" w:color="auto"/>
      </w:divBdr>
    </w:div>
    <w:div w:id="33434412">
      <w:marLeft w:val="0"/>
      <w:marRight w:val="0"/>
      <w:marTop w:val="0"/>
      <w:marBottom w:val="0"/>
      <w:divBdr>
        <w:top w:val="none" w:sz="0" w:space="0" w:color="auto"/>
        <w:left w:val="none" w:sz="0" w:space="0" w:color="auto"/>
        <w:bottom w:val="none" w:sz="0" w:space="0" w:color="auto"/>
        <w:right w:val="none" w:sz="0" w:space="0" w:color="auto"/>
      </w:divBdr>
    </w:div>
    <w:div w:id="44567659">
      <w:bodyDiv w:val="1"/>
      <w:marLeft w:val="0"/>
      <w:marRight w:val="0"/>
      <w:marTop w:val="0"/>
      <w:marBottom w:val="0"/>
      <w:divBdr>
        <w:top w:val="none" w:sz="0" w:space="0" w:color="auto"/>
        <w:left w:val="none" w:sz="0" w:space="0" w:color="auto"/>
        <w:bottom w:val="none" w:sz="0" w:space="0" w:color="auto"/>
        <w:right w:val="none" w:sz="0" w:space="0" w:color="auto"/>
      </w:divBdr>
    </w:div>
    <w:div w:id="296183973">
      <w:bodyDiv w:val="1"/>
      <w:marLeft w:val="0"/>
      <w:marRight w:val="0"/>
      <w:marTop w:val="0"/>
      <w:marBottom w:val="0"/>
      <w:divBdr>
        <w:top w:val="none" w:sz="0" w:space="0" w:color="auto"/>
        <w:left w:val="none" w:sz="0" w:space="0" w:color="auto"/>
        <w:bottom w:val="none" w:sz="0" w:space="0" w:color="auto"/>
        <w:right w:val="none" w:sz="0" w:space="0" w:color="auto"/>
      </w:divBdr>
    </w:div>
    <w:div w:id="442964568">
      <w:bodyDiv w:val="1"/>
      <w:marLeft w:val="0"/>
      <w:marRight w:val="0"/>
      <w:marTop w:val="0"/>
      <w:marBottom w:val="0"/>
      <w:divBdr>
        <w:top w:val="none" w:sz="0" w:space="0" w:color="auto"/>
        <w:left w:val="none" w:sz="0" w:space="0" w:color="auto"/>
        <w:bottom w:val="none" w:sz="0" w:space="0" w:color="auto"/>
        <w:right w:val="none" w:sz="0" w:space="0" w:color="auto"/>
      </w:divBdr>
    </w:div>
    <w:div w:id="475025201">
      <w:bodyDiv w:val="1"/>
      <w:marLeft w:val="0"/>
      <w:marRight w:val="0"/>
      <w:marTop w:val="0"/>
      <w:marBottom w:val="0"/>
      <w:divBdr>
        <w:top w:val="none" w:sz="0" w:space="0" w:color="auto"/>
        <w:left w:val="none" w:sz="0" w:space="0" w:color="auto"/>
        <w:bottom w:val="none" w:sz="0" w:space="0" w:color="auto"/>
        <w:right w:val="none" w:sz="0" w:space="0" w:color="auto"/>
      </w:divBdr>
    </w:div>
    <w:div w:id="594174092">
      <w:bodyDiv w:val="1"/>
      <w:marLeft w:val="0"/>
      <w:marRight w:val="0"/>
      <w:marTop w:val="0"/>
      <w:marBottom w:val="0"/>
      <w:divBdr>
        <w:top w:val="none" w:sz="0" w:space="0" w:color="auto"/>
        <w:left w:val="none" w:sz="0" w:space="0" w:color="auto"/>
        <w:bottom w:val="none" w:sz="0" w:space="0" w:color="auto"/>
        <w:right w:val="none" w:sz="0" w:space="0" w:color="auto"/>
      </w:divBdr>
    </w:div>
    <w:div w:id="853156617">
      <w:bodyDiv w:val="1"/>
      <w:marLeft w:val="0"/>
      <w:marRight w:val="0"/>
      <w:marTop w:val="0"/>
      <w:marBottom w:val="0"/>
      <w:divBdr>
        <w:top w:val="none" w:sz="0" w:space="0" w:color="auto"/>
        <w:left w:val="none" w:sz="0" w:space="0" w:color="auto"/>
        <w:bottom w:val="none" w:sz="0" w:space="0" w:color="auto"/>
        <w:right w:val="none" w:sz="0" w:space="0" w:color="auto"/>
      </w:divBdr>
    </w:div>
    <w:div w:id="1326125807">
      <w:bodyDiv w:val="1"/>
      <w:marLeft w:val="0"/>
      <w:marRight w:val="0"/>
      <w:marTop w:val="0"/>
      <w:marBottom w:val="0"/>
      <w:divBdr>
        <w:top w:val="none" w:sz="0" w:space="0" w:color="auto"/>
        <w:left w:val="none" w:sz="0" w:space="0" w:color="auto"/>
        <w:bottom w:val="none" w:sz="0" w:space="0" w:color="auto"/>
        <w:right w:val="none" w:sz="0" w:space="0" w:color="auto"/>
      </w:divBdr>
    </w:div>
    <w:div w:id="1408768640">
      <w:bodyDiv w:val="1"/>
      <w:marLeft w:val="0"/>
      <w:marRight w:val="0"/>
      <w:marTop w:val="0"/>
      <w:marBottom w:val="0"/>
      <w:divBdr>
        <w:top w:val="none" w:sz="0" w:space="0" w:color="auto"/>
        <w:left w:val="none" w:sz="0" w:space="0" w:color="auto"/>
        <w:bottom w:val="none" w:sz="0" w:space="0" w:color="auto"/>
        <w:right w:val="none" w:sz="0" w:space="0" w:color="auto"/>
      </w:divBdr>
    </w:div>
    <w:div w:id="14668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oleObject" Target="embeddings/oleObject1.bin"/><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laskentataulukko1.xlsx"/></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package" Target="../embeddings/Microsoft_Excel_-laskentataulukko2.xlsx"/></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package" Target="../embeddings/Microsoft_Excel_-laskentataulukko3.xlsx"/></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package" Target="../embeddings/Microsoft_Excel_-laskentataulukko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91301891079"/>
          <c:y val="0.0276944380336949"/>
          <c:w val="0.813696986348388"/>
          <c:h val="0.856937882764654"/>
        </c:manualLayout>
      </c:layout>
      <c:barChart>
        <c:barDir val="bar"/>
        <c:grouping val="clustered"/>
        <c:varyColors val="0"/>
        <c:ser>
          <c:idx val="0"/>
          <c:order val="0"/>
          <c:tx>
            <c:strRef>
              <c:f>Taul1!$B$1</c:f>
              <c:strCache>
                <c:ptCount val="1"/>
                <c:pt idx="0">
                  <c:v>Tulot kulutusyksikköä kohti</c:v>
                </c:pt>
              </c:strCache>
            </c:strRef>
          </c:tx>
          <c:spPr>
            <a:solidFill>
              <a:schemeClr val="tx2">
                <a:lumMod val="60000"/>
                <a:lumOff val="40000"/>
              </a:schemeClr>
            </a:solidFill>
          </c:spPr>
          <c:invertIfNegative val="0"/>
          <c:cat>
            <c:strRef>
              <c:f>Taul1!$A$2:$A$12</c:f>
              <c:strCache>
                <c:ptCount val="11"/>
                <c:pt idx="0">
                  <c:v>Kaikki</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Taul1!$B$2:$B$12</c:f>
              <c:numCache>
                <c:formatCode>0</c:formatCode>
                <c:ptCount val="11"/>
                <c:pt idx="0">
                  <c:v>25475.48528396627</c:v>
                </c:pt>
                <c:pt idx="1">
                  <c:v>10450.9746833185</c:v>
                </c:pt>
                <c:pt idx="2">
                  <c:v>14620.72676333691</c:v>
                </c:pt>
                <c:pt idx="3">
                  <c:v>17107.94774369681</c:v>
                </c:pt>
                <c:pt idx="4">
                  <c:v>19474.9520627451</c:v>
                </c:pt>
                <c:pt idx="5">
                  <c:v>21825.83832989079</c:v>
                </c:pt>
                <c:pt idx="6">
                  <c:v>24367.3768749111</c:v>
                </c:pt>
                <c:pt idx="7">
                  <c:v>27046.1482066196</c:v>
                </c:pt>
                <c:pt idx="8">
                  <c:v>30686.1523697339</c:v>
                </c:pt>
                <c:pt idx="9">
                  <c:v>35724.75756255267</c:v>
                </c:pt>
                <c:pt idx="10">
                  <c:v>53449.9782428572</c:v>
                </c:pt>
              </c:numCache>
            </c:numRef>
          </c:val>
        </c:ser>
        <c:ser>
          <c:idx val="1"/>
          <c:order val="1"/>
          <c:tx>
            <c:strRef>
              <c:f>Taul1!$C$1</c:f>
              <c:strCache>
                <c:ptCount val="1"/>
                <c:pt idx="0">
                  <c:v>Kulutusmenot kulutusyksikköä kohti</c:v>
                </c:pt>
              </c:strCache>
            </c:strRef>
          </c:tx>
          <c:spPr>
            <a:solidFill>
              <a:schemeClr val="accent3">
                <a:lumMod val="60000"/>
                <a:lumOff val="40000"/>
              </a:schemeClr>
            </a:solidFill>
          </c:spPr>
          <c:invertIfNegative val="0"/>
          <c:cat>
            <c:strRef>
              <c:f>Taul1!$A$2:$A$12</c:f>
              <c:strCache>
                <c:ptCount val="11"/>
                <c:pt idx="0">
                  <c:v>Kaikki</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Taul1!$C$2:$C$12</c:f>
              <c:numCache>
                <c:formatCode>0</c:formatCode>
                <c:ptCount val="11"/>
                <c:pt idx="0">
                  <c:v>22440.5494327727</c:v>
                </c:pt>
                <c:pt idx="1">
                  <c:v>14095.97639964318</c:v>
                </c:pt>
                <c:pt idx="2">
                  <c:v>15671.74477801652</c:v>
                </c:pt>
                <c:pt idx="3">
                  <c:v>17134.97544403401</c:v>
                </c:pt>
                <c:pt idx="4">
                  <c:v>19227.6726854902</c:v>
                </c:pt>
                <c:pt idx="5">
                  <c:v>20744.1614488049</c:v>
                </c:pt>
                <c:pt idx="6">
                  <c:v>22234.5635733599</c:v>
                </c:pt>
                <c:pt idx="7">
                  <c:v>24452.31158980749</c:v>
                </c:pt>
                <c:pt idx="8">
                  <c:v>26109.4216380266</c:v>
                </c:pt>
                <c:pt idx="9">
                  <c:v>29743.1142648299</c:v>
                </c:pt>
                <c:pt idx="10">
                  <c:v>34991.5525057143</c:v>
                </c:pt>
              </c:numCache>
            </c:numRef>
          </c:val>
        </c:ser>
        <c:dLbls>
          <c:showLegendKey val="0"/>
          <c:showVal val="0"/>
          <c:showCatName val="0"/>
          <c:showSerName val="0"/>
          <c:showPercent val="0"/>
          <c:showBubbleSize val="0"/>
        </c:dLbls>
        <c:gapWidth val="150"/>
        <c:axId val="-2130766400"/>
        <c:axId val="-2130763392"/>
      </c:barChart>
      <c:catAx>
        <c:axId val="-2130766400"/>
        <c:scaling>
          <c:orientation val="maxMin"/>
        </c:scaling>
        <c:delete val="0"/>
        <c:axPos val="l"/>
        <c:numFmt formatCode="General" sourceLinked="1"/>
        <c:majorTickMark val="out"/>
        <c:minorTickMark val="none"/>
        <c:tickLblPos val="nextTo"/>
        <c:crossAx val="-2130763392"/>
        <c:crosses val="autoZero"/>
        <c:auto val="1"/>
        <c:lblAlgn val="ctr"/>
        <c:lblOffset val="100"/>
        <c:noMultiLvlLbl val="0"/>
      </c:catAx>
      <c:valAx>
        <c:axId val="-2130763392"/>
        <c:scaling>
          <c:orientation val="minMax"/>
        </c:scaling>
        <c:delete val="0"/>
        <c:axPos val="b"/>
        <c:majorGridlines/>
        <c:numFmt formatCode="0" sourceLinked="1"/>
        <c:majorTickMark val="out"/>
        <c:minorTickMark val="none"/>
        <c:tickLblPos val="nextTo"/>
        <c:crossAx val="-2130766400"/>
        <c:crosses val="max"/>
        <c:crossBetween val="between"/>
        <c:dispUnits>
          <c:builtInUnit val="thousands"/>
          <c:dispUnitsLbl>
            <c:layout>
              <c:manualLayout>
                <c:xMode val="edge"/>
                <c:yMode val="edge"/>
                <c:x val="0.831337868559339"/>
                <c:y val="0.92692993343522"/>
              </c:manualLayout>
            </c:layout>
            <c:tx>
              <c:rich>
                <a:bodyPr rot="0" vert="horz"/>
                <a:lstStyle/>
                <a:p>
                  <a:pPr algn="ctr">
                    <a:defRPr sz="999" b="1" i="0" u="none" strike="noStrike" baseline="0">
                      <a:solidFill>
                        <a:srgbClr val="000000"/>
                      </a:solidFill>
                      <a:latin typeface="Calibri"/>
                      <a:ea typeface="Calibri"/>
                      <a:cs typeface="Calibri"/>
                    </a:defRPr>
                  </a:pPr>
                  <a:r>
                    <a:rPr lang="fi-FI"/>
                    <a:t>1000 €</a:t>
                  </a:r>
                </a:p>
              </c:rich>
            </c:tx>
            <c:spPr>
              <a:noFill/>
              <a:ln w="25380">
                <a:noFill/>
              </a:ln>
            </c:spPr>
          </c:dispUnitsLbl>
        </c:dispUnits>
      </c:valAx>
    </c:plotArea>
    <c:legend>
      <c:legendPos val="r"/>
      <c:layout>
        <c:manualLayout>
          <c:xMode val="edge"/>
          <c:yMode val="edge"/>
          <c:x val="0.488001768200028"/>
          <c:y val="0.138559723045372"/>
          <c:w val="0.393426053322282"/>
          <c:h val="0.14351517888221"/>
        </c:manualLayout>
      </c:layout>
      <c:overlay val="0"/>
      <c:spPr>
        <a:solidFill>
          <a:schemeClr val="bg1"/>
        </a:solidFill>
      </c:sp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491301891079"/>
          <c:y val="0.0435273613969869"/>
          <c:w val="0.80064778585784"/>
          <c:h val="0.846124200273886"/>
        </c:manualLayout>
      </c:layout>
      <c:barChart>
        <c:barDir val="bar"/>
        <c:grouping val="clustered"/>
        <c:varyColors val="0"/>
        <c:ser>
          <c:idx val="0"/>
          <c:order val="0"/>
          <c:tx>
            <c:strRef>
              <c:f>Taul1!$B$1</c:f>
              <c:strCache>
                <c:ptCount val="1"/>
                <c:pt idx="0">
                  <c:v>Tulot kulutusyksikköä kohti</c:v>
                </c:pt>
              </c:strCache>
            </c:strRef>
          </c:tx>
          <c:spPr>
            <a:solidFill>
              <a:schemeClr val="tx2">
                <a:lumMod val="60000"/>
                <a:lumOff val="40000"/>
              </a:schemeClr>
            </a:solidFill>
          </c:spPr>
          <c:invertIfNegative val="0"/>
          <c:cat>
            <c:strRef>
              <c:f>Taul1!$A$2:$A$12</c:f>
              <c:strCache>
                <c:ptCount val="11"/>
                <c:pt idx="0">
                  <c:v>Kaikki</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Taul1!$B$2:$B$12</c:f>
              <c:numCache>
                <c:formatCode>0.00</c:formatCode>
                <c:ptCount val="11"/>
                <c:pt idx="0">
                  <c:v>5.621743834895897</c:v>
                </c:pt>
                <c:pt idx="1">
                  <c:v>3.818640529946883</c:v>
                </c:pt>
                <c:pt idx="2">
                  <c:v>5.551455512062026</c:v>
                </c:pt>
                <c:pt idx="3">
                  <c:v>5.596399458127643</c:v>
                </c:pt>
                <c:pt idx="4">
                  <c:v>5.923689835581923</c:v>
                </c:pt>
                <c:pt idx="5">
                  <c:v>6.089014942916235</c:v>
                </c:pt>
                <c:pt idx="6">
                  <c:v>6.011892869856527</c:v>
                </c:pt>
                <c:pt idx="7">
                  <c:v>6.00662773477559</c:v>
                </c:pt>
                <c:pt idx="8">
                  <c:v>5.822947313430957</c:v>
                </c:pt>
                <c:pt idx="9">
                  <c:v>5.480907568439595</c:v>
                </c:pt>
                <c:pt idx="10">
                  <c:v>5.27154848625557</c:v>
                </c:pt>
              </c:numCache>
            </c:numRef>
          </c:val>
        </c:ser>
        <c:ser>
          <c:idx val="1"/>
          <c:order val="1"/>
          <c:tx>
            <c:strRef>
              <c:f>Taul1!$C$1</c:f>
              <c:strCache>
                <c:ptCount val="1"/>
                <c:pt idx="0">
                  <c:v>Sarake2</c:v>
                </c:pt>
              </c:strCache>
            </c:strRef>
          </c:tx>
          <c:spPr>
            <a:solidFill>
              <a:schemeClr val="accent3">
                <a:lumMod val="60000"/>
                <a:lumOff val="40000"/>
              </a:schemeClr>
            </a:solidFill>
          </c:spPr>
          <c:invertIfNegative val="0"/>
          <c:cat>
            <c:strRef>
              <c:f>Taul1!$A$2:$A$12</c:f>
              <c:strCache>
                <c:ptCount val="11"/>
                <c:pt idx="0">
                  <c:v>Kaikki</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Taul1!$C$2:$C$12</c:f>
              <c:numCache>
                <c:formatCode>General</c:formatCode>
                <c:ptCount val="11"/>
              </c:numCache>
            </c:numRef>
          </c:val>
        </c:ser>
        <c:dLbls>
          <c:showLegendKey val="0"/>
          <c:showVal val="0"/>
          <c:showCatName val="0"/>
          <c:showSerName val="0"/>
          <c:showPercent val="0"/>
          <c:showBubbleSize val="0"/>
        </c:dLbls>
        <c:gapWidth val="36"/>
        <c:axId val="-2131755008"/>
        <c:axId val="-2131752256"/>
      </c:barChart>
      <c:catAx>
        <c:axId val="-2131755008"/>
        <c:scaling>
          <c:orientation val="maxMin"/>
        </c:scaling>
        <c:delete val="0"/>
        <c:axPos val="l"/>
        <c:numFmt formatCode="General" sourceLinked="1"/>
        <c:majorTickMark val="out"/>
        <c:minorTickMark val="none"/>
        <c:tickLblPos val="nextTo"/>
        <c:crossAx val="-2131752256"/>
        <c:crosses val="autoZero"/>
        <c:auto val="1"/>
        <c:lblAlgn val="ctr"/>
        <c:lblOffset val="100"/>
        <c:noMultiLvlLbl val="0"/>
      </c:catAx>
      <c:valAx>
        <c:axId val="-2131752256"/>
        <c:scaling>
          <c:orientation val="minMax"/>
        </c:scaling>
        <c:delete val="0"/>
        <c:axPos val="b"/>
        <c:majorGridlines/>
        <c:title>
          <c:tx>
            <c:rich>
              <a:bodyPr/>
              <a:lstStyle/>
              <a:p>
                <a:pPr>
                  <a:defRPr sz="1000" b="1" i="0" u="none" strike="noStrike" baseline="0">
                    <a:solidFill>
                      <a:srgbClr val="000000"/>
                    </a:solidFill>
                    <a:latin typeface="Calibri"/>
                    <a:ea typeface="Calibri"/>
                    <a:cs typeface="Calibri"/>
                  </a:defRPr>
                </a:pPr>
                <a:r>
                  <a:rPr lang="fi-FI"/>
                  <a:t>%</a:t>
                </a:r>
              </a:p>
            </c:rich>
          </c:tx>
          <c:layout>
            <c:manualLayout>
              <c:xMode val="edge"/>
              <c:yMode val="edge"/>
              <c:x val="0.873958805996708"/>
              <c:y val="0.918906456692914"/>
            </c:manualLayout>
          </c:layout>
          <c:overlay val="0"/>
          <c:spPr>
            <a:noFill/>
            <a:ln w="25392">
              <a:noFill/>
            </a:ln>
          </c:spPr>
        </c:title>
        <c:numFmt formatCode="0" sourceLinked="0"/>
        <c:majorTickMark val="out"/>
        <c:minorTickMark val="none"/>
        <c:tickLblPos val="nextTo"/>
        <c:crossAx val="-2131755008"/>
        <c:crosses val="max"/>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252551764363"/>
          <c:y val="0.0526475604690828"/>
          <c:w val="0.58304573033756"/>
          <c:h val="0.821120888712781"/>
        </c:manualLayout>
      </c:layout>
      <c:barChart>
        <c:barDir val="bar"/>
        <c:grouping val="stacked"/>
        <c:varyColors val="0"/>
        <c:ser>
          <c:idx val="0"/>
          <c:order val="0"/>
          <c:tx>
            <c:strRef>
              <c:f>Taul1!$B$1</c:f>
              <c:strCache>
                <c:ptCount val="1"/>
                <c:pt idx="0">
                  <c:v>2010 verot</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Taul1!$B$2:$B$12</c:f>
              <c:numCache>
                <c:formatCode>0.00</c:formatCode>
                <c:ptCount val="11"/>
                <c:pt idx="0">
                  <c:v>2.838897458518652</c:v>
                </c:pt>
                <c:pt idx="1">
                  <c:v>2.601069205171694</c:v>
                </c:pt>
                <c:pt idx="2">
                  <c:v>2.859407088447074</c:v>
                </c:pt>
                <c:pt idx="3">
                  <c:v>3.012082599585723</c:v>
                </c:pt>
                <c:pt idx="4">
                  <c:v>2.97250378381406</c:v>
                </c:pt>
                <c:pt idx="5">
                  <c:v>2.933614703383692</c:v>
                </c:pt>
                <c:pt idx="6">
                  <c:v>2.969939029369466</c:v>
                </c:pt>
                <c:pt idx="7">
                  <c:v>2.925452068991255</c:v>
                </c:pt>
                <c:pt idx="8">
                  <c:v>2.918775781022241</c:v>
                </c:pt>
                <c:pt idx="9">
                  <c:v>2.687225270634164</c:v>
                </c:pt>
                <c:pt idx="10">
                  <c:v>2.636712147700387</c:v>
                </c:pt>
              </c:numCache>
            </c:numRef>
          </c:val>
        </c:ser>
        <c:ser>
          <c:idx val="1"/>
          <c:order val="1"/>
          <c:tx>
            <c:strRef>
              <c:f>Taul1!$C$1</c:f>
              <c:strCache>
                <c:ptCount val="1"/>
                <c:pt idx="0">
                  <c:v>2012 korotukset</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Taul1!$C$2:$C$12</c:f>
              <c:numCache>
                <c:formatCode>0.00</c:formatCode>
                <c:ptCount val="11"/>
                <c:pt idx="0">
                  <c:v>0.663695701851304</c:v>
                </c:pt>
                <c:pt idx="1">
                  <c:v>0.747800517948648</c:v>
                </c:pt>
                <c:pt idx="2">
                  <c:v>0.735923523258621</c:v>
                </c:pt>
                <c:pt idx="3">
                  <c:v>0.707117274634552</c:v>
                </c:pt>
                <c:pt idx="4">
                  <c:v>0.70587985475305</c:v>
                </c:pt>
                <c:pt idx="5">
                  <c:v>0.68345090013973</c:v>
                </c:pt>
                <c:pt idx="6">
                  <c:v>0.681040543115134</c:v>
                </c:pt>
                <c:pt idx="7">
                  <c:v>0.63516627946674</c:v>
                </c:pt>
                <c:pt idx="8">
                  <c:v>0.625525300019706</c:v>
                </c:pt>
                <c:pt idx="9">
                  <c:v>0.610807124659591</c:v>
                </c:pt>
                <c:pt idx="10">
                  <c:v>0.623663819411168</c:v>
                </c:pt>
              </c:numCache>
            </c:numRef>
          </c:val>
        </c:ser>
        <c:ser>
          <c:idx val="2"/>
          <c:order val="2"/>
          <c:tx>
            <c:strRef>
              <c:f>Taul1!$D$1</c:f>
              <c:strCache>
                <c:ptCount val="1"/>
                <c:pt idx="0">
                  <c:v>2015 lisäkorotus</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Taul1!$D$2:$D$12</c:f>
              <c:numCache>
                <c:formatCode>0.00</c:formatCode>
                <c:ptCount val="11"/>
                <c:pt idx="0">
                  <c:v>0.160714914649157</c:v>
                </c:pt>
                <c:pt idx="1">
                  <c:v>0.19372531750396</c:v>
                </c:pt>
                <c:pt idx="2">
                  <c:v>0.181598965507719</c:v>
                </c:pt>
                <c:pt idx="3">
                  <c:v>0.179080621383878</c:v>
                </c:pt>
                <c:pt idx="4">
                  <c:v>0.171265262463981</c:v>
                </c:pt>
                <c:pt idx="5">
                  <c:v>0.166424282858312</c:v>
                </c:pt>
                <c:pt idx="6">
                  <c:v>0.156628217386002</c:v>
                </c:pt>
                <c:pt idx="7">
                  <c:v>0.157894437746382</c:v>
                </c:pt>
                <c:pt idx="8">
                  <c:v>0.154215830988205</c:v>
                </c:pt>
                <c:pt idx="9">
                  <c:v>0.142981424244564</c:v>
                </c:pt>
                <c:pt idx="10">
                  <c:v>0.144378847775645</c:v>
                </c:pt>
              </c:numCache>
            </c:numRef>
          </c:val>
        </c:ser>
        <c:dLbls>
          <c:showLegendKey val="0"/>
          <c:showVal val="0"/>
          <c:showCatName val="0"/>
          <c:showSerName val="0"/>
          <c:showPercent val="0"/>
          <c:showBubbleSize val="0"/>
        </c:dLbls>
        <c:gapWidth val="150"/>
        <c:overlap val="100"/>
        <c:axId val="-2131706176"/>
        <c:axId val="-2131703104"/>
      </c:barChart>
      <c:catAx>
        <c:axId val="-2131706176"/>
        <c:scaling>
          <c:orientation val="maxMin"/>
        </c:scaling>
        <c:delete val="0"/>
        <c:axPos val="l"/>
        <c:numFmt formatCode="General" sourceLinked="1"/>
        <c:majorTickMark val="out"/>
        <c:minorTickMark val="none"/>
        <c:tickLblPos val="nextTo"/>
        <c:crossAx val="-2131703104"/>
        <c:crosses val="autoZero"/>
        <c:auto val="1"/>
        <c:lblAlgn val="ctr"/>
        <c:lblOffset val="100"/>
        <c:noMultiLvlLbl val="0"/>
      </c:catAx>
      <c:valAx>
        <c:axId val="-2131703104"/>
        <c:scaling>
          <c:orientation val="minMax"/>
          <c:max val="4.0"/>
        </c:scaling>
        <c:delete val="0"/>
        <c:axPos val="b"/>
        <c:majorGridlines/>
        <c:title>
          <c:tx>
            <c:rich>
              <a:bodyPr/>
              <a:lstStyle/>
              <a:p>
                <a:pPr>
                  <a:defRPr sz="1000" b="1" i="0" u="none" strike="noStrike" baseline="0">
                    <a:solidFill>
                      <a:srgbClr val="000000"/>
                    </a:solidFill>
                    <a:latin typeface="Calibri"/>
                    <a:ea typeface="Calibri"/>
                    <a:cs typeface="Calibri"/>
                  </a:defRPr>
                </a:pPr>
                <a:r>
                  <a:rPr lang="fi-FI"/>
                  <a:t>%</a:t>
                </a:r>
              </a:p>
            </c:rich>
          </c:tx>
          <c:layout>
            <c:manualLayout>
              <c:xMode val="edge"/>
              <c:yMode val="edge"/>
              <c:x val="0.678896143674641"/>
              <c:y val="0.929361024993827"/>
            </c:manualLayout>
          </c:layout>
          <c:overlay val="0"/>
          <c:spPr>
            <a:noFill/>
            <a:ln w="25400">
              <a:noFill/>
            </a:ln>
          </c:spPr>
        </c:title>
        <c:numFmt formatCode="0.00" sourceLinked="1"/>
        <c:majorTickMark val="out"/>
        <c:minorTickMark val="none"/>
        <c:tickLblPos val="nextTo"/>
        <c:crossAx val="-2131706176"/>
        <c:crosses val="max"/>
        <c:crossBetween val="between"/>
      </c:valAx>
    </c:plotArea>
    <c:legend>
      <c:legendPos val="r"/>
      <c:layout>
        <c:manualLayout>
          <c:xMode val="edge"/>
          <c:yMode val="edge"/>
          <c:x val="0.76505507676925"/>
          <c:y val="0.0933023262374335"/>
          <c:w val="0.231344894315234"/>
          <c:h val="0.243494563179603"/>
        </c:manualLayout>
      </c:layout>
      <c:overlay val="0"/>
      <c:spPr>
        <a:solidFill>
          <a:schemeClr val="bg1"/>
        </a:solidFill>
      </c:sp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622507613835"/>
          <c:y val="0.043662175456908"/>
          <c:w val="0.587907047307404"/>
          <c:h val="0.812166639286875"/>
        </c:manualLayout>
      </c:layout>
      <c:barChart>
        <c:barDir val="bar"/>
        <c:grouping val="stacked"/>
        <c:varyColors val="0"/>
        <c:ser>
          <c:idx val="0"/>
          <c:order val="0"/>
          <c:tx>
            <c:strRef>
              <c:f>Taul1!$B$1</c:f>
              <c:strCache>
                <c:ptCount val="1"/>
                <c:pt idx="0">
                  <c:v>2010 verot</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Taul1!$B$2:$B$12</c:f>
              <c:numCache>
                <c:formatCode>0.00</c:formatCode>
                <c:ptCount val="11"/>
                <c:pt idx="0">
                  <c:v>2.500695003150974</c:v>
                </c:pt>
                <c:pt idx="1">
                  <c:v>3.508247913800972</c:v>
                </c:pt>
                <c:pt idx="2">
                  <c:v>3.064956949948933</c:v>
                </c:pt>
                <c:pt idx="3">
                  <c:v>3.016841187062852</c:v>
                </c:pt>
                <c:pt idx="4">
                  <c:v>2.934761001075434</c:v>
                </c:pt>
                <c:pt idx="5">
                  <c:v>2.788226326786124</c:v>
                </c:pt>
                <c:pt idx="6">
                  <c:v>2.709987968606864</c:v>
                </c:pt>
                <c:pt idx="7">
                  <c:v>2.6448892088269</c:v>
                </c:pt>
                <c:pt idx="8">
                  <c:v>2.483450730979699</c:v>
                </c:pt>
                <c:pt idx="9">
                  <c:v>2.237284553712148</c:v>
                </c:pt>
                <c:pt idx="10">
                  <c:v>1.72614946893907</c:v>
                </c:pt>
              </c:numCache>
            </c:numRef>
          </c:val>
        </c:ser>
        <c:ser>
          <c:idx val="1"/>
          <c:order val="1"/>
          <c:tx>
            <c:strRef>
              <c:f>Taul1!$C$1</c:f>
              <c:strCache>
                <c:ptCount val="1"/>
                <c:pt idx="0">
                  <c:v>2012 korotukset</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Taul1!$C$2:$C$12</c:f>
              <c:numCache>
                <c:formatCode>0.00</c:formatCode>
                <c:ptCount val="11"/>
                <c:pt idx="0">
                  <c:v>0.584628557206985</c:v>
                </c:pt>
                <c:pt idx="1">
                  <c:v>1.008611997641738</c:v>
                </c:pt>
                <c:pt idx="2">
                  <c:v>0.788825741656605</c:v>
                </c:pt>
                <c:pt idx="3">
                  <c:v>0.708234401836973</c:v>
                </c:pt>
                <c:pt idx="4">
                  <c:v>0.696917083993063</c:v>
                </c:pt>
                <c:pt idx="5">
                  <c:v>0.64957943885313</c:v>
                </c:pt>
                <c:pt idx="6">
                  <c:v>0.621430830641439</c:v>
                </c:pt>
                <c:pt idx="7">
                  <c:v>0.57425122639305</c:v>
                </c:pt>
                <c:pt idx="8">
                  <c:v>0.532230421288533</c:v>
                </c:pt>
                <c:pt idx="9">
                  <c:v>0.508535462297039</c:v>
                </c:pt>
                <c:pt idx="10">
                  <c:v>0.408287636408094</c:v>
                </c:pt>
              </c:numCache>
            </c:numRef>
          </c:val>
        </c:ser>
        <c:ser>
          <c:idx val="2"/>
          <c:order val="2"/>
          <c:tx>
            <c:strRef>
              <c:f>Taul1!$D$1</c:f>
              <c:strCache>
                <c:ptCount val="1"/>
                <c:pt idx="0">
                  <c:v>2015 lisäkorotus</c:v>
                </c:pt>
              </c:strCache>
            </c:strRef>
          </c:tx>
          <c:invertIfNegative val="0"/>
          <c:cat>
            <c:strRef>
              <c:f>Taul1!$A$2:$A$12</c:f>
              <c:strCache>
                <c:ptCount val="11"/>
                <c:pt idx="0">
                  <c:v>Keskimäärin</c:v>
                </c:pt>
                <c:pt idx="1">
                  <c:v>1. desiili</c:v>
                </c:pt>
                <c:pt idx="2">
                  <c:v>2. desiili</c:v>
                </c:pt>
                <c:pt idx="3">
                  <c:v>3. desiili</c:v>
                </c:pt>
                <c:pt idx="4">
                  <c:v>4. desiili</c:v>
                </c:pt>
                <c:pt idx="5">
                  <c:v>5. desiili</c:v>
                </c:pt>
                <c:pt idx="6">
                  <c:v>6. desiili</c:v>
                </c:pt>
                <c:pt idx="7">
                  <c:v>7. desiili</c:v>
                </c:pt>
                <c:pt idx="8">
                  <c:v>8. desiili</c:v>
                </c:pt>
                <c:pt idx="9">
                  <c:v>9. desiili</c:v>
                </c:pt>
                <c:pt idx="10">
                  <c:v>10. desiili</c:v>
                </c:pt>
              </c:strCache>
            </c:strRef>
          </c:cat>
          <c:val>
            <c:numRef>
              <c:f>Taul1!$D$2:$D$12</c:f>
              <c:numCache>
                <c:formatCode>0.00</c:formatCode>
                <c:ptCount val="11"/>
                <c:pt idx="0">
                  <c:v>0.141568686388798</c:v>
                </c:pt>
                <c:pt idx="1">
                  <c:v>0.261291179655035</c:v>
                </c:pt>
                <c:pt idx="2">
                  <c:v>0.194653294973366</c:v>
                </c:pt>
                <c:pt idx="3">
                  <c:v>0.179363538858462</c:v>
                </c:pt>
                <c:pt idx="4">
                  <c:v>0.169090655445127</c:v>
                </c:pt>
                <c:pt idx="5">
                  <c:v>0.158176384358459</c:v>
                </c:pt>
                <c:pt idx="6">
                  <c:v>0.142918955730388</c:v>
                </c:pt>
                <c:pt idx="7">
                  <c:v>0.142751713130339</c:v>
                </c:pt>
                <c:pt idx="8">
                  <c:v>0.131215087053438</c:v>
                </c:pt>
                <c:pt idx="9">
                  <c:v>0.119041055257208</c:v>
                </c:pt>
                <c:pt idx="10">
                  <c:v>0.0945190287955101</c:v>
                </c:pt>
              </c:numCache>
            </c:numRef>
          </c:val>
        </c:ser>
        <c:dLbls>
          <c:showLegendKey val="0"/>
          <c:showVal val="0"/>
          <c:showCatName val="0"/>
          <c:showSerName val="0"/>
          <c:showPercent val="0"/>
          <c:showBubbleSize val="0"/>
        </c:dLbls>
        <c:gapWidth val="150"/>
        <c:overlap val="100"/>
        <c:axId val="-2100906864"/>
        <c:axId val="-2100903792"/>
      </c:barChart>
      <c:catAx>
        <c:axId val="-2100906864"/>
        <c:scaling>
          <c:orientation val="maxMin"/>
        </c:scaling>
        <c:delete val="0"/>
        <c:axPos val="l"/>
        <c:numFmt formatCode="General" sourceLinked="1"/>
        <c:majorTickMark val="out"/>
        <c:minorTickMark val="none"/>
        <c:tickLblPos val="nextTo"/>
        <c:crossAx val="-2100903792"/>
        <c:crosses val="autoZero"/>
        <c:auto val="1"/>
        <c:lblAlgn val="ctr"/>
        <c:lblOffset val="100"/>
        <c:noMultiLvlLbl val="0"/>
      </c:catAx>
      <c:valAx>
        <c:axId val="-2100903792"/>
        <c:scaling>
          <c:orientation val="minMax"/>
          <c:max val="5.0"/>
        </c:scaling>
        <c:delete val="0"/>
        <c:axPos val="b"/>
        <c:majorGridlines/>
        <c:title>
          <c:tx>
            <c:rich>
              <a:bodyPr/>
              <a:lstStyle/>
              <a:p>
                <a:pPr>
                  <a:defRPr sz="1000" b="1" i="0" u="none" strike="noStrike" baseline="0">
                    <a:solidFill>
                      <a:srgbClr val="000000"/>
                    </a:solidFill>
                    <a:latin typeface="Calibri"/>
                    <a:ea typeface="Calibri"/>
                    <a:cs typeface="Calibri"/>
                  </a:defRPr>
                </a:pPr>
                <a:r>
                  <a:rPr lang="fi-FI"/>
                  <a:t>%</a:t>
                </a:r>
              </a:p>
            </c:rich>
          </c:tx>
          <c:layout>
            <c:manualLayout>
              <c:xMode val="edge"/>
              <c:yMode val="edge"/>
              <c:x val="0.689096343557336"/>
              <c:y val="0.911687606447313"/>
            </c:manualLayout>
          </c:layout>
          <c:overlay val="0"/>
          <c:spPr>
            <a:noFill/>
            <a:ln w="25403">
              <a:noFill/>
            </a:ln>
          </c:spPr>
        </c:title>
        <c:numFmt formatCode="0.00" sourceLinked="1"/>
        <c:majorTickMark val="out"/>
        <c:minorTickMark val="none"/>
        <c:tickLblPos val="nextTo"/>
        <c:crossAx val="-2100906864"/>
        <c:crosses val="max"/>
        <c:crossBetween val="between"/>
      </c:valAx>
    </c:plotArea>
    <c:legend>
      <c:legendPos val="r"/>
      <c:layout>
        <c:manualLayout>
          <c:xMode val="edge"/>
          <c:yMode val="edge"/>
          <c:x val="0.771939096029239"/>
          <c:y val="0.0886523197139543"/>
          <c:w val="0.224199367717072"/>
          <c:h val="0.243494563179603"/>
        </c:manualLayout>
      </c:layout>
      <c:overlay val="0"/>
      <c:spPr>
        <a:solidFill>
          <a:schemeClr val="bg1"/>
        </a:solidFill>
      </c:sp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18</Pages>
  <Words>3749</Words>
  <Characters>30369</Characters>
  <Application>Microsoft Macintosh Word</Application>
  <DocSecurity>0</DocSecurity>
  <Lines>253</Lines>
  <Paragraphs>68</Paragraphs>
  <ScaleCrop>false</ScaleCrop>
  <HeadingPairs>
    <vt:vector size="2" baseType="variant">
      <vt:variant>
        <vt:lpstr>Otsikko</vt:lpstr>
      </vt:variant>
      <vt:variant>
        <vt:i4>1</vt:i4>
      </vt:variant>
    </vt:vector>
  </HeadingPairs>
  <TitlesOfParts>
    <vt:vector size="1" baseType="lpstr">
      <vt:lpstr>Luonnos 30</vt:lpstr>
    </vt:vector>
  </TitlesOfParts>
  <Company/>
  <LinksUpToDate>false</LinksUpToDate>
  <CharactersWithSpaces>34050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30</dc:title>
  <dc:creator>Ilmo Mäenpää</dc:creator>
  <cp:lastModifiedBy>Kari Vatanen</cp:lastModifiedBy>
  <cp:revision>2</cp:revision>
  <dcterms:created xsi:type="dcterms:W3CDTF">2016-01-28T17:45:00Z</dcterms:created>
  <dcterms:modified xsi:type="dcterms:W3CDTF">2016-01-28T17:45:00Z</dcterms:modified>
</cp:coreProperties>
</file>